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24D0B" w:rsidRPr="005777CD" w:rsidRDefault="00724D0B" w:rsidP="00F462C6">
      <w:pPr>
        <w:pStyle w:val="Title2"/>
        <w:snapToGrid w:val="0"/>
        <w:spacing w:afterLines="50" w:after="120" w:line="360" w:lineRule="auto"/>
        <w:rPr>
          <w:b w:val="0"/>
          <w:color w:val="000000"/>
          <w:sz w:val="32"/>
          <w:szCs w:val="32"/>
        </w:rPr>
      </w:pPr>
      <w:r w:rsidRPr="005777CD">
        <w:rPr>
          <w:b w:val="0"/>
          <w:color w:val="000000"/>
          <w:sz w:val="32"/>
          <w:szCs w:val="32"/>
        </w:rPr>
        <w:t>Supporting Information</w:t>
      </w:r>
      <w:r>
        <w:rPr>
          <w:b w:val="0"/>
          <w:color w:val="000000"/>
          <w:sz w:val="32"/>
          <w:szCs w:val="32"/>
        </w:rPr>
        <w:t xml:space="preserve"> </w:t>
      </w:r>
    </w:p>
    <w:p w:rsidR="00724D0B" w:rsidRPr="00A35E4A" w:rsidRDefault="00724D0B" w:rsidP="00F462C6">
      <w:pPr>
        <w:pStyle w:val="Tableofcontents"/>
        <w:snapToGrid w:val="0"/>
        <w:spacing w:afterLines="50" w:after="120" w:line="360" w:lineRule="auto"/>
      </w:pPr>
    </w:p>
    <w:p w:rsidR="00724D0B" w:rsidRPr="001D62F3" w:rsidRDefault="00724D0B" w:rsidP="00F462C6">
      <w:pPr>
        <w:pStyle w:val="Title2"/>
        <w:snapToGrid w:val="0"/>
        <w:spacing w:afterLines="50" w:after="120" w:line="360" w:lineRule="auto"/>
        <w:rPr>
          <w:b w:val="0"/>
          <w:color w:val="FF0000"/>
        </w:rPr>
      </w:pPr>
      <w:r w:rsidRPr="001D4912">
        <w:rPr>
          <w:rFonts w:ascii="Arial" w:hAnsi="Arial" w:cs="Arial"/>
          <w:sz w:val="30"/>
          <w:szCs w:val="30"/>
        </w:rPr>
        <w:t>Environment-</w:t>
      </w:r>
      <w:r>
        <w:rPr>
          <w:rFonts w:ascii="Arial" w:hAnsi="Arial" w:cs="Arial"/>
          <w:sz w:val="30"/>
          <w:szCs w:val="30"/>
        </w:rPr>
        <w:t>r</w:t>
      </w:r>
      <w:r w:rsidRPr="001D4912">
        <w:rPr>
          <w:rFonts w:ascii="Arial" w:hAnsi="Arial" w:cs="Arial"/>
          <w:sz w:val="30"/>
          <w:szCs w:val="30"/>
        </w:rPr>
        <w:t xml:space="preserve">esponsive </w:t>
      </w:r>
      <w:r>
        <w:rPr>
          <w:rFonts w:ascii="Arial" w:hAnsi="Arial" w:cs="Arial"/>
          <w:sz w:val="30"/>
          <w:szCs w:val="30"/>
        </w:rPr>
        <w:t>a</w:t>
      </w:r>
      <w:r w:rsidRPr="009D1C6D">
        <w:rPr>
          <w:rFonts w:ascii="Arial" w:hAnsi="Arial" w:cs="Arial"/>
          <w:sz w:val="30"/>
          <w:szCs w:val="30"/>
        </w:rPr>
        <w:t xml:space="preserve">za-BODIPY </w:t>
      </w:r>
      <w:r>
        <w:rPr>
          <w:rFonts w:ascii="Arial" w:hAnsi="Arial" w:cs="Arial"/>
          <w:sz w:val="30"/>
          <w:szCs w:val="30"/>
        </w:rPr>
        <w:t>d</w:t>
      </w:r>
      <w:r w:rsidRPr="009D1C6D">
        <w:rPr>
          <w:rFonts w:ascii="Arial" w:hAnsi="Arial" w:cs="Arial"/>
          <w:sz w:val="30"/>
          <w:szCs w:val="30"/>
        </w:rPr>
        <w:t>yes</w:t>
      </w:r>
      <w:r w:rsidRPr="001D4912">
        <w:rPr>
          <w:rFonts w:ascii="Arial" w:hAnsi="Arial" w:cs="Arial"/>
          <w:sz w:val="30"/>
          <w:szCs w:val="30"/>
        </w:rPr>
        <w:t xml:space="preserve"> </w:t>
      </w:r>
      <w:r>
        <w:rPr>
          <w:rFonts w:ascii="Arial" w:hAnsi="Arial" w:cs="Arial"/>
          <w:sz w:val="30"/>
          <w:szCs w:val="30"/>
        </w:rPr>
        <w:t>q</w:t>
      </w:r>
      <w:r w:rsidRPr="001D4912">
        <w:rPr>
          <w:rFonts w:ascii="Arial" w:hAnsi="Arial" w:cs="Arial"/>
          <w:sz w:val="30"/>
          <w:szCs w:val="30"/>
        </w:rPr>
        <w:t xml:space="preserve">uenching in </w:t>
      </w:r>
      <w:r>
        <w:rPr>
          <w:rFonts w:ascii="Arial" w:hAnsi="Arial" w:cs="Arial"/>
          <w:sz w:val="30"/>
          <w:szCs w:val="30"/>
        </w:rPr>
        <w:t>water as p</w:t>
      </w:r>
      <w:r w:rsidRPr="001D4912">
        <w:rPr>
          <w:rFonts w:ascii="Arial" w:hAnsi="Arial" w:cs="Arial"/>
          <w:sz w:val="30"/>
          <w:szCs w:val="30"/>
        </w:rPr>
        <w:t xml:space="preserve">otential </w:t>
      </w:r>
      <w:r>
        <w:rPr>
          <w:rFonts w:ascii="Arial" w:hAnsi="Arial" w:cs="Arial"/>
          <w:sz w:val="30"/>
          <w:szCs w:val="30"/>
        </w:rPr>
        <w:t>p</w:t>
      </w:r>
      <w:r w:rsidRPr="001D4912">
        <w:rPr>
          <w:rFonts w:ascii="Arial" w:hAnsi="Arial" w:cs="Arial"/>
          <w:sz w:val="30"/>
          <w:szCs w:val="30"/>
        </w:rPr>
        <w:t xml:space="preserve">robes to </w:t>
      </w:r>
      <w:r>
        <w:rPr>
          <w:rFonts w:ascii="Arial" w:hAnsi="Arial" w:cs="Arial"/>
          <w:sz w:val="30"/>
          <w:szCs w:val="30"/>
        </w:rPr>
        <w:t>v</w:t>
      </w:r>
      <w:r w:rsidRPr="001D4912">
        <w:rPr>
          <w:rFonts w:ascii="Arial" w:hAnsi="Arial" w:cs="Arial"/>
          <w:sz w:val="30"/>
          <w:szCs w:val="30"/>
        </w:rPr>
        <w:t xml:space="preserve">isualize the </w:t>
      </w:r>
      <w:r>
        <w:rPr>
          <w:rFonts w:ascii="Arial" w:hAnsi="Arial" w:cs="Arial"/>
          <w:sz w:val="30"/>
          <w:szCs w:val="30"/>
        </w:rPr>
        <w:t>i</w:t>
      </w:r>
      <w:r w:rsidRPr="0079051D">
        <w:rPr>
          <w:rFonts w:ascii="Arial" w:hAnsi="Arial" w:cs="Arial"/>
          <w:i/>
          <w:sz w:val="30"/>
          <w:szCs w:val="30"/>
        </w:rPr>
        <w:t xml:space="preserve">n </w:t>
      </w:r>
      <w:r>
        <w:rPr>
          <w:rFonts w:ascii="Arial" w:hAnsi="Arial" w:cs="Arial"/>
          <w:i/>
          <w:sz w:val="30"/>
          <w:szCs w:val="30"/>
        </w:rPr>
        <w:t>v</w:t>
      </w:r>
      <w:r w:rsidRPr="0079051D">
        <w:rPr>
          <w:rFonts w:ascii="Arial" w:hAnsi="Arial" w:cs="Arial"/>
          <w:i/>
          <w:sz w:val="30"/>
          <w:szCs w:val="30"/>
        </w:rPr>
        <w:t>ivo</w:t>
      </w:r>
      <w:r w:rsidRPr="001D4912">
        <w:rPr>
          <w:rFonts w:ascii="Arial" w:hAnsi="Arial" w:cs="Arial"/>
          <w:sz w:val="30"/>
          <w:szCs w:val="30"/>
        </w:rPr>
        <w:t xml:space="preserve"> </w:t>
      </w:r>
      <w:r>
        <w:rPr>
          <w:rFonts w:ascii="Arial" w:hAnsi="Arial" w:cs="Arial"/>
          <w:sz w:val="30"/>
          <w:szCs w:val="30"/>
        </w:rPr>
        <w:t>f</w:t>
      </w:r>
      <w:r w:rsidRPr="001D4912">
        <w:rPr>
          <w:rFonts w:ascii="Arial" w:hAnsi="Arial" w:cs="Arial"/>
          <w:sz w:val="30"/>
          <w:szCs w:val="30"/>
        </w:rPr>
        <w:t xml:space="preserve">ate of </w:t>
      </w:r>
      <w:r>
        <w:rPr>
          <w:rFonts w:ascii="Arial" w:hAnsi="Arial" w:cs="Arial"/>
          <w:sz w:val="30"/>
          <w:szCs w:val="30"/>
        </w:rPr>
        <w:t>l</w:t>
      </w:r>
      <w:r w:rsidRPr="001D4912">
        <w:rPr>
          <w:rFonts w:ascii="Arial" w:hAnsi="Arial" w:cs="Arial"/>
          <w:sz w:val="30"/>
          <w:szCs w:val="30"/>
        </w:rPr>
        <w:t xml:space="preserve">ipid-based </w:t>
      </w:r>
      <w:r>
        <w:rPr>
          <w:rFonts w:ascii="Arial" w:hAnsi="Arial" w:cs="Arial"/>
          <w:sz w:val="30"/>
          <w:szCs w:val="30"/>
        </w:rPr>
        <w:t>n</w:t>
      </w:r>
      <w:r w:rsidRPr="001D4912">
        <w:rPr>
          <w:rFonts w:ascii="Arial" w:hAnsi="Arial" w:cs="Arial"/>
          <w:sz w:val="30"/>
          <w:szCs w:val="30"/>
        </w:rPr>
        <w:t>anocarriers</w:t>
      </w:r>
    </w:p>
    <w:p w:rsidR="00724D0B" w:rsidRPr="00A35E4A" w:rsidRDefault="00724D0B" w:rsidP="00F462C6">
      <w:pPr>
        <w:pStyle w:val="Tableofcontents"/>
        <w:snapToGrid w:val="0"/>
        <w:spacing w:afterLines="50" w:after="120" w:line="360" w:lineRule="auto"/>
      </w:pPr>
    </w:p>
    <w:p w:rsidR="00724D0B" w:rsidRDefault="00724D0B" w:rsidP="00F462C6">
      <w:pPr>
        <w:pStyle w:val="AuthorsFull"/>
        <w:snapToGrid w:val="0"/>
        <w:spacing w:afterLines="50" w:after="120" w:line="360" w:lineRule="auto"/>
        <w:jc w:val="both"/>
        <w:rPr>
          <w:i w:val="0"/>
        </w:rPr>
      </w:pPr>
      <w:r w:rsidRPr="00C52CC6">
        <w:rPr>
          <w:i w:val="0"/>
        </w:rPr>
        <w:t>Xiongwei Hu, MSc</w:t>
      </w:r>
      <w:r w:rsidRPr="00C52CC6">
        <w:rPr>
          <w:rFonts w:ascii="Arial" w:hAnsi="Arial" w:cs="Arial"/>
          <w:i w:val="0"/>
          <w:shd w:val="clear" w:color="auto" w:fill="FFFFFF"/>
          <w:vertAlign w:val="superscript"/>
        </w:rPr>
        <w:t>§</w:t>
      </w:r>
      <w:r w:rsidRPr="00C52CC6">
        <w:rPr>
          <w:i w:val="0"/>
          <w:vertAlign w:val="superscript"/>
        </w:rPr>
        <w:t>,1</w:t>
      </w:r>
      <w:r w:rsidRPr="00C52CC6">
        <w:rPr>
          <w:i w:val="0"/>
        </w:rPr>
        <w:t>, Jian Zhang, BSc</w:t>
      </w:r>
      <w:r w:rsidRPr="00C52CC6">
        <w:rPr>
          <w:rFonts w:ascii="Arial" w:hAnsi="Arial" w:cs="Arial"/>
          <w:i w:val="0"/>
          <w:shd w:val="clear" w:color="auto" w:fill="FFFFFF"/>
          <w:vertAlign w:val="superscript"/>
        </w:rPr>
        <w:t>§,</w:t>
      </w:r>
      <w:r w:rsidRPr="00C52CC6">
        <w:rPr>
          <w:i w:val="0"/>
          <w:vertAlign w:val="superscript"/>
        </w:rPr>
        <w:t>1</w:t>
      </w:r>
      <w:r w:rsidRPr="00C52CC6">
        <w:rPr>
          <w:i w:val="0"/>
        </w:rPr>
        <w:t>, Zhou Yu, BSc</w:t>
      </w:r>
      <w:r w:rsidRPr="00C52CC6">
        <w:rPr>
          <w:i w:val="0"/>
          <w:vertAlign w:val="superscript"/>
        </w:rPr>
        <w:t>1</w:t>
      </w:r>
      <w:r w:rsidRPr="00C52CC6">
        <w:rPr>
          <w:i w:val="0"/>
        </w:rPr>
        <w:t>, Yunchang Xie, BSc</w:t>
      </w:r>
      <w:r w:rsidRPr="00C52CC6">
        <w:rPr>
          <w:i w:val="0"/>
          <w:vertAlign w:val="superscript"/>
        </w:rPr>
        <w:t>1</w:t>
      </w:r>
      <w:r w:rsidRPr="00C52CC6">
        <w:rPr>
          <w:i w:val="0"/>
        </w:rPr>
        <w:t>, Haisheng He, BSc</w:t>
      </w:r>
      <w:r w:rsidRPr="00C52CC6">
        <w:rPr>
          <w:i w:val="0"/>
          <w:vertAlign w:val="superscript"/>
        </w:rPr>
        <w:t>1</w:t>
      </w:r>
      <w:r w:rsidRPr="00C52CC6">
        <w:rPr>
          <w:i w:val="0"/>
        </w:rPr>
        <w:t>, Jianping Qi, PhD</w:t>
      </w:r>
      <w:r w:rsidRPr="00C52CC6">
        <w:rPr>
          <w:i w:val="0"/>
          <w:vertAlign w:val="superscript"/>
        </w:rPr>
        <w:t>1</w:t>
      </w:r>
      <w:r w:rsidRPr="00C52CC6">
        <w:rPr>
          <w:i w:val="0"/>
        </w:rPr>
        <w:t>, Xiaochun Dong, PhD</w:t>
      </w:r>
      <w:r w:rsidRPr="00C52CC6">
        <w:rPr>
          <w:i w:val="0"/>
          <w:vertAlign w:val="superscript"/>
        </w:rPr>
        <w:t>1</w:t>
      </w:r>
      <w:r w:rsidRPr="00C52CC6">
        <w:rPr>
          <w:i w:val="0"/>
        </w:rPr>
        <w:t xml:space="preserve">, </w:t>
      </w:r>
      <w:r w:rsidR="00935E1B" w:rsidRPr="00935E1B">
        <w:rPr>
          <w:i w:val="0"/>
          <w:color w:val="0070C0"/>
        </w:rPr>
        <w:t>Yi Lu, PhD</w:t>
      </w:r>
      <w:r w:rsidR="00935E1B" w:rsidRPr="00935E1B">
        <w:rPr>
          <w:i w:val="0"/>
          <w:color w:val="0070C0"/>
          <w:vertAlign w:val="superscript"/>
        </w:rPr>
        <w:t>1</w:t>
      </w:r>
      <w:r w:rsidR="00935E1B" w:rsidRPr="00935E1B">
        <w:rPr>
          <w:i w:val="0"/>
          <w:color w:val="0070C0"/>
        </w:rPr>
        <w:t>,</w:t>
      </w:r>
      <w:r w:rsidR="00935E1B">
        <w:rPr>
          <w:i w:val="0"/>
        </w:rPr>
        <w:t xml:space="preserve"> </w:t>
      </w:r>
      <w:r w:rsidRPr="00C52CC6">
        <w:rPr>
          <w:i w:val="0"/>
        </w:rPr>
        <w:t>Weili Zhao, PhD</w:t>
      </w:r>
      <w:r w:rsidRPr="00C52CC6">
        <w:rPr>
          <w:i w:val="0"/>
          <w:vertAlign w:val="superscript"/>
        </w:rPr>
        <w:t>*,1,2</w:t>
      </w:r>
      <w:r w:rsidRPr="00C52CC6">
        <w:rPr>
          <w:i w:val="0"/>
        </w:rPr>
        <w:t>, Wei Wu, PhD</w:t>
      </w:r>
      <w:r w:rsidRPr="00C52CC6">
        <w:rPr>
          <w:i w:val="0"/>
          <w:vertAlign w:val="superscript"/>
        </w:rPr>
        <w:t>*,1</w:t>
      </w:r>
    </w:p>
    <w:p w:rsidR="00F462C6" w:rsidRPr="00F462C6" w:rsidRDefault="00F462C6" w:rsidP="00F462C6">
      <w:pPr>
        <w:pStyle w:val="AuthorsFull"/>
        <w:snapToGrid w:val="0"/>
        <w:spacing w:afterLines="50" w:after="120" w:line="360" w:lineRule="auto"/>
        <w:jc w:val="both"/>
        <w:rPr>
          <w:i w:val="0"/>
        </w:rPr>
      </w:pPr>
    </w:p>
    <w:p w:rsidR="00724D0B" w:rsidRPr="00C52CC6" w:rsidRDefault="00724D0B" w:rsidP="00F462C6">
      <w:pPr>
        <w:pStyle w:val="Tableofcontents"/>
        <w:snapToGrid w:val="0"/>
        <w:spacing w:afterLines="50" w:after="120" w:line="360" w:lineRule="auto"/>
      </w:pPr>
      <w:r w:rsidRPr="00C52CC6">
        <w:rPr>
          <w:vertAlign w:val="superscript"/>
        </w:rPr>
        <w:t>1</w:t>
      </w:r>
      <w:r w:rsidRPr="00C52CC6">
        <w:rPr>
          <w:i/>
        </w:rPr>
        <w:t>School of Pharmacy, Fudan University, Shanghai, China</w:t>
      </w:r>
    </w:p>
    <w:p w:rsidR="00724D0B" w:rsidRPr="00C52CC6" w:rsidRDefault="00724D0B" w:rsidP="00F462C6">
      <w:pPr>
        <w:pStyle w:val="Addresses"/>
        <w:snapToGrid w:val="0"/>
        <w:spacing w:afterLines="50" w:after="120" w:line="360" w:lineRule="auto"/>
        <w:jc w:val="both"/>
        <w:rPr>
          <w:i/>
        </w:rPr>
      </w:pPr>
      <w:r w:rsidRPr="00C52CC6">
        <w:rPr>
          <w:vertAlign w:val="superscript"/>
        </w:rPr>
        <w:t>2</w:t>
      </w:r>
      <w:r w:rsidRPr="00C52CC6">
        <w:rPr>
          <w:i/>
        </w:rPr>
        <w:t>Key Laboratory for Special Functional Materials of the Ministry of Education, Henan University, Kaifeng, China.</w:t>
      </w:r>
    </w:p>
    <w:p w:rsidR="00724D0B" w:rsidRPr="00C52CC6" w:rsidRDefault="00724D0B" w:rsidP="00F462C6">
      <w:pPr>
        <w:pStyle w:val="BGKeywords"/>
        <w:snapToGrid w:val="0"/>
        <w:spacing w:afterLines="50" w:after="120" w:line="360" w:lineRule="auto"/>
        <w:jc w:val="left"/>
        <w:rPr>
          <w:lang w:eastAsia="zh-CN"/>
        </w:rPr>
      </w:pPr>
    </w:p>
    <w:p w:rsidR="00724D0B" w:rsidRDefault="00724D0B" w:rsidP="00F462C6">
      <w:pPr>
        <w:pStyle w:val="BGKeywords"/>
        <w:snapToGrid w:val="0"/>
        <w:spacing w:afterLines="50" w:after="120" w:line="360" w:lineRule="auto"/>
        <w:ind w:rightChars="-260" w:right="-624"/>
        <w:jc w:val="left"/>
        <w:rPr>
          <w:lang w:eastAsia="zh-CN"/>
        </w:rPr>
      </w:pPr>
      <w:r w:rsidRPr="00DD2CED">
        <w:rPr>
          <w:lang w:eastAsia="zh-CN"/>
        </w:rPr>
        <w:t>*</w:t>
      </w:r>
      <w:r w:rsidRPr="00DD2CED">
        <w:rPr>
          <w:b/>
          <w:lang w:eastAsia="zh-CN"/>
        </w:rPr>
        <w:t>Corresponding author at:</w:t>
      </w:r>
      <w:r w:rsidRPr="00DD2CED">
        <w:rPr>
          <w:lang w:eastAsia="zh-CN"/>
        </w:rPr>
        <w:t xml:space="preserve"> School of Pharmacy, Fudan University, Shanghai 201203, China.</w:t>
      </w:r>
      <w:r>
        <w:rPr>
          <w:lang w:eastAsia="zh-CN"/>
        </w:rPr>
        <w:t xml:space="preserve"> </w:t>
      </w:r>
      <w:r w:rsidRPr="00DD2CED">
        <w:rPr>
          <w:i/>
          <w:iCs/>
          <w:lang w:eastAsia="zh-CN"/>
        </w:rPr>
        <w:t>E-mail address</w:t>
      </w:r>
      <w:r w:rsidRPr="00DD2CED">
        <w:rPr>
          <w:lang w:eastAsia="zh-CN"/>
        </w:rPr>
        <w:t>: wuwei@shmu.edu.cn (W. Wu)</w:t>
      </w:r>
      <w:r>
        <w:rPr>
          <w:lang w:eastAsia="zh-CN"/>
        </w:rPr>
        <w:t xml:space="preserve">; </w:t>
      </w:r>
      <w:r w:rsidR="000F42BB" w:rsidRPr="000F42BB">
        <w:rPr>
          <w:lang w:eastAsia="zh-CN"/>
        </w:rPr>
        <w:t>zhaoweili@fudan.edu.cn</w:t>
      </w:r>
      <w:r w:rsidR="000F42BB">
        <w:rPr>
          <w:lang w:eastAsia="zh-CN"/>
        </w:rPr>
        <w:t xml:space="preserve"> (W. Zhao)</w:t>
      </w:r>
    </w:p>
    <w:p w:rsidR="00724D0B" w:rsidRPr="00724D0B" w:rsidRDefault="00724D0B" w:rsidP="00724D0B">
      <w:pPr>
        <w:pStyle w:val="Tableofcontents"/>
      </w:pPr>
    </w:p>
    <w:p w:rsidR="007A4E8A" w:rsidRPr="00CE2AA0" w:rsidRDefault="007A4E8A" w:rsidP="007A4E8A">
      <w:pPr>
        <w:pStyle w:val="Head1"/>
        <w:snapToGrid w:val="0"/>
        <w:spacing w:afterLines="50" w:after="120" w:line="480" w:lineRule="auto"/>
        <w:jc w:val="both"/>
      </w:pPr>
      <w:r>
        <w:t>Methods</w:t>
      </w:r>
    </w:p>
    <w:p w:rsidR="007A4E8A" w:rsidRDefault="007A4E8A" w:rsidP="007A4E8A">
      <w:pPr>
        <w:snapToGrid w:val="0"/>
        <w:spacing w:afterLines="50" w:after="120" w:line="480" w:lineRule="auto"/>
        <w:jc w:val="both"/>
        <w:rPr>
          <w:i/>
        </w:rPr>
      </w:pPr>
      <w:r w:rsidRPr="00CE2AA0">
        <w:rPr>
          <w:i/>
        </w:rPr>
        <w:t>Materials</w:t>
      </w:r>
    </w:p>
    <w:p w:rsidR="007A4E8A" w:rsidRPr="00CE2AA0" w:rsidRDefault="007A4E8A" w:rsidP="007A4E8A">
      <w:pPr>
        <w:snapToGrid w:val="0"/>
        <w:spacing w:afterLines="50" w:after="120" w:line="480" w:lineRule="auto"/>
        <w:ind w:firstLineChars="150" w:firstLine="360"/>
        <w:jc w:val="both"/>
      </w:pPr>
      <w:r w:rsidRPr="00CE2AA0">
        <w:t xml:space="preserve">Precirol ATO 5 was kindly provided by Gattefosse´ Co. (Saint Priest, Cedex, France). Lecithin (Lipoid E100, containing 100% of egg phosphatidylcholine) was purchased from Lipoid GmbH Company (Ludwigshafen, Germany). Sodium taurocholate was purchased from Tokyo Chemical Industry Co., Ltd. (Tokyo, Japan). Lipase from porcine pancreas and Tris-maleate were purchased from Sigma-Aldrich Co. (St. Louis, USA). </w:t>
      </w:r>
      <w:r w:rsidRPr="00CE2AA0">
        <w:rPr>
          <w:shd w:val="clear" w:color="auto" w:fill="FFFFFF"/>
        </w:rPr>
        <w:t>SIF powder was purchased from Biorelevant.com (Croydon, United Kingdom)</w:t>
      </w:r>
      <w:r w:rsidRPr="00CE2AA0">
        <w:t xml:space="preserve">. Tween 80 and other inorganic salts were supplied by Sinopharm Chemical Reagent Co., Ltd (Shanghai, China). DiR iodide was </w:t>
      </w:r>
      <w:r w:rsidRPr="00CE2AA0">
        <w:lastRenderedPageBreak/>
        <w:t>purchased from Fanbo biochemicals Co. (Beijing, China). Deionized water was prepared by a Milli-Q purification system (Millipore, USA). All solvents used for UV and fluorescence measurements were of either spectroscopic grade or HPLC grade and purchased from Acros, Aldrich or Fluka.</w:t>
      </w:r>
    </w:p>
    <w:p w:rsidR="00180DD4" w:rsidRDefault="00180DD4" w:rsidP="00180DD4">
      <w:pPr>
        <w:snapToGrid w:val="0"/>
        <w:spacing w:afterLines="50" w:after="120" w:line="480" w:lineRule="auto"/>
        <w:jc w:val="both"/>
        <w:rPr>
          <w:b/>
        </w:rPr>
      </w:pPr>
      <w:bookmarkStart w:id="0" w:name="OLE_LINK1"/>
      <w:r w:rsidRPr="00CE2AA0">
        <w:rPr>
          <w:i/>
        </w:rPr>
        <w:t>ACQ effects in water</w:t>
      </w:r>
      <w:r w:rsidRPr="00CE2AA0">
        <w:rPr>
          <w:b/>
        </w:rPr>
        <w:t xml:space="preserve"> </w:t>
      </w:r>
    </w:p>
    <w:p w:rsidR="00180DD4" w:rsidRPr="00CE2AA0" w:rsidRDefault="00180DD4" w:rsidP="00180DD4">
      <w:pPr>
        <w:autoSpaceDE w:val="0"/>
        <w:autoSpaceDN w:val="0"/>
        <w:adjustRightInd w:val="0"/>
        <w:snapToGrid w:val="0"/>
        <w:spacing w:afterLines="50" w:after="120" w:line="480" w:lineRule="auto"/>
        <w:ind w:firstLineChars="150" w:firstLine="360"/>
        <w:jc w:val="both"/>
      </w:pPr>
      <w:r w:rsidRPr="00CE2AA0">
        <w:t xml:space="preserve">For preparation of the test solutions, </w:t>
      </w:r>
      <w:bookmarkStart w:id="1" w:name="OLE_LINK13"/>
      <w:r w:rsidRPr="00CE2AA0">
        <w:t>0.5 mM P1 and 1 mM P2 / P3 / P4 solution</w:t>
      </w:r>
      <w:bookmarkEnd w:id="1"/>
      <w:r w:rsidRPr="00CE2AA0">
        <w:t xml:space="preserve"> were first prepared by dissolving in acetonitrile. A </w:t>
      </w:r>
      <w:bookmarkStart w:id="2" w:name="OLE_LINK14"/>
      <w:r w:rsidRPr="00CE2AA0">
        <w:t>series of test solvents</w:t>
      </w:r>
      <w:bookmarkEnd w:id="2"/>
      <w:r w:rsidRPr="00CE2AA0">
        <w:t xml:space="preserve"> were prepared by adding different volumetric percentage of water (1%, 10%, 20%, 30%, 40%, 50%, 55%, 60%, 65%, 70%, 75%, 80%, 90%, and 99%) to the acetonitrile solution. Then, the test solutions were prepared by diluting 50 μL 0.5 mM P2 or 1 mM P2 / P3 / P4 solution to 5 mL using series of test solvents.</w:t>
      </w:r>
    </w:p>
    <w:p w:rsidR="00292E79" w:rsidRDefault="00292E79" w:rsidP="00292E79">
      <w:pPr>
        <w:snapToGrid w:val="0"/>
        <w:spacing w:afterLines="50" w:after="120" w:line="480" w:lineRule="auto"/>
        <w:jc w:val="both"/>
        <w:rPr>
          <w:b/>
        </w:rPr>
      </w:pPr>
      <w:r w:rsidRPr="00CE2AA0">
        <w:rPr>
          <w:i/>
        </w:rPr>
        <w:t>ACQ effects in various aqueous environments</w:t>
      </w:r>
      <w:r w:rsidRPr="00CE2AA0">
        <w:rPr>
          <w:b/>
        </w:rPr>
        <w:t xml:space="preserve"> </w:t>
      </w:r>
    </w:p>
    <w:p w:rsidR="00292E79" w:rsidRPr="00CE2AA0" w:rsidRDefault="00292E79" w:rsidP="00292E79">
      <w:pPr>
        <w:snapToGrid w:val="0"/>
        <w:spacing w:afterLines="50" w:after="120" w:line="480" w:lineRule="auto"/>
        <w:ind w:firstLineChars="150" w:firstLine="360"/>
        <w:jc w:val="both"/>
      </w:pPr>
      <w:r w:rsidRPr="00CE2AA0">
        <w:t>Stock solution of the dyes was prepared by dissolving each of the dyes in acetonitrile to a concentration of 20 μg/mL. Then 20 μL of the stock solution was diluted by 1 mL of the following media: ultrapure water, pH 1.2 hydrochloric acid solution (HCI), pH 4.5 acetate buffer solution (ABS), pH 6.8 and pH 7.4 phosphate buffer solutions (PBS), 1% poloxamer 188 solution, 1% Tween 80 solution, 15 mM sodium taurocholate (STC) solution, 3.75 mM lecithin, fasted-state simulated gastric fluid (FaSSGF), simulated gastric fluid (SGF), simulated intestinal fluid (SIF), fasted-state simulated intestinal fluid (FaSSIF), fed-state simulated intestinal fluid (FeSSIF), respectively. After vortex mixing for 10 s</w:t>
      </w:r>
      <w:r w:rsidRPr="00CE2AA0">
        <w:t>，</w:t>
      </w:r>
      <w:r w:rsidRPr="00CE2AA0">
        <w:t>all the dispersed dye solution were kept in a water bath at 37±0.5</w:t>
      </w:r>
      <w:r w:rsidRPr="00CE2AA0">
        <w:sym w:font="Symbol" w:char="F0B0"/>
      </w:r>
      <w:r w:rsidRPr="00CE2AA0">
        <w:t>C, and the fluorescence intensity was measured at 0, 4, 8, 12 and 24 h by Cary Eclipse fluorospectrophotometer (Agilent, USA). All the buffers, SGF and SIF were prepared according to USP35/NF30, the bio-relevant media FaSSGF, FaSSIF and FeSSIF were made from a patented SIF Powder (biorelevant.com) with vender proposal</w:t>
      </w:r>
      <w:r>
        <w:t>.</w:t>
      </w:r>
      <w:r w:rsidRPr="00CE2AA0">
        <w:t xml:space="preserve"> Fed-state simulated gastric fluid (FeSSGF) was not included in our investigation </w:t>
      </w:r>
      <w:r w:rsidRPr="00CE2AA0">
        <w:lastRenderedPageBreak/>
        <w:t>because its formulation was comprised of considerable amount of milk which could disturb fluorescence measurement.</w:t>
      </w:r>
    </w:p>
    <w:p w:rsidR="007A4E8A" w:rsidRDefault="007A4E8A" w:rsidP="007A4E8A">
      <w:pPr>
        <w:snapToGrid w:val="0"/>
        <w:spacing w:afterLines="50" w:after="120" w:line="480" w:lineRule="auto"/>
        <w:jc w:val="both"/>
        <w:rPr>
          <w:b/>
        </w:rPr>
      </w:pPr>
      <w:r w:rsidRPr="00CE2AA0">
        <w:rPr>
          <w:i/>
        </w:rPr>
        <w:t>Preparation and characterization of SLNs</w:t>
      </w:r>
      <w:r w:rsidRPr="00CE2AA0">
        <w:rPr>
          <w:b/>
        </w:rPr>
        <w:t xml:space="preserve"> </w:t>
      </w:r>
      <w:bookmarkEnd w:id="0"/>
    </w:p>
    <w:p w:rsidR="007A4E8A" w:rsidRPr="00CE2AA0" w:rsidRDefault="00597BD3" w:rsidP="007A4E8A">
      <w:pPr>
        <w:snapToGrid w:val="0"/>
        <w:spacing w:afterLines="50" w:after="120" w:line="480" w:lineRule="auto"/>
        <w:ind w:firstLineChars="150" w:firstLine="360"/>
        <w:jc w:val="both"/>
      </w:pPr>
      <w:r>
        <w:t>P2-</w:t>
      </w:r>
      <w:r w:rsidRPr="00CE2AA0">
        <w:t>SLNs were prepared by a modified hot high-pressure homogenization method using Precirol ATO</w:t>
      </w:r>
      <w:r>
        <w:t xml:space="preserve"> </w:t>
      </w:r>
      <w:r w:rsidRPr="00CE2AA0">
        <w:t>5 (mainly glycerol distearates) as the lipid and Tween 80 as the surfactant</w:t>
      </w:r>
      <w:r>
        <w:t>.</w:t>
      </w:r>
      <w:r>
        <w:rPr>
          <w:noProof/>
          <w:color w:val="0070C0"/>
          <w:vertAlign w:val="superscript"/>
        </w:rPr>
        <w:t xml:space="preserve"> </w:t>
      </w:r>
      <w:r w:rsidR="007A4E8A" w:rsidRPr="00CE2AA0">
        <w:t>ATO</w:t>
      </w:r>
      <w:r>
        <w:t xml:space="preserve"> </w:t>
      </w:r>
      <w:r w:rsidR="007A4E8A" w:rsidRPr="00CE2AA0">
        <w:t>5 (2.5 g ) was heated to melt at 70</w:t>
      </w:r>
      <w:r w:rsidR="007A4E8A" w:rsidRPr="00CE2AA0">
        <w:sym w:font="Symbol" w:char="F0B0"/>
      </w:r>
      <w:r w:rsidR="007A4E8A" w:rsidRPr="00CE2AA0">
        <w:t>C, then 0.1 mM dichloromethane (DCM) solution of P2 (1.5 mL) was added into the melt lipid and mixed homogeneously. After the evaporation of DCM, the melted mixture was dispersed into 50 mL water (70</w:t>
      </w:r>
      <w:r w:rsidR="007A4E8A" w:rsidRPr="00CE2AA0">
        <w:sym w:font="Symbol" w:char="F0B0"/>
      </w:r>
      <w:r w:rsidR="007A4E8A" w:rsidRPr="00CE2AA0">
        <w:t>C, containing 1 g Tween-80) under high shear at 5000 r/min for 1 min by a XHF-D high-speed inner cutting homogenizer (SCIENTZ biotechnology co., LTD, Zhejiang, China). Then, the obtained primary emulsion was homogenized using a micro-jet homogenizer (Nano DeBEE, USA) under 20,000 psi for ﬁve cycles. The resulting hot O/W nanoemulsions were cooled down to room temperature by a water bath, then the lipids was solidiﬁed and P2-SLNs was formed.</w:t>
      </w:r>
      <w:r>
        <w:t xml:space="preserve"> </w:t>
      </w:r>
      <w:r w:rsidRPr="00CE2AA0">
        <w:t>DiR-SLNs were prepared and characterized using the same methods, with P2 replaced by equimolar DiR</w:t>
      </w:r>
      <w:r>
        <w:t>, a commercial NIR dye</w:t>
      </w:r>
      <w:r w:rsidRPr="00CE2AA0">
        <w:t>.</w:t>
      </w:r>
    </w:p>
    <w:p w:rsidR="007A4E8A" w:rsidRPr="00CE2AA0" w:rsidRDefault="007A4E8A" w:rsidP="007A4E8A">
      <w:pPr>
        <w:snapToGrid w:val="0"/>
        <w:spacing w:afterLines="50" w:after="120" w:line="480" w:lineRule="auto"/>
        <w:ind w:firstLineChars="150" w:firstLine="360"/>
        <w:jc w:val="both"/>
      </w:pPr>
      <w:r w:rsidRPr="00CE2AA0">
        <w:t>The particle size was measured by Zetasizer Nano</w:t>
      </w:r>
      <w:r w:rsidRPr="00692B36">
        <w:rPr>
          <w:vertAlign w:val="superscript"/>
        </w:rPr>
        <w:t>®</w:t>
      </w:r>
      <w:r w:rsidRPr="00CE2AA0">
        <w:t xml:space="preserve"> (Malvern Instruments, Malvem, UK) equipped with a 4-mW He-Ne laser (633 nm) at 25</w:t>
      </w:r>
      <w:r w:rsidRPr="00CE2AA0">
        <w:sym w:font="Symbol" w:char="F0B0"/>
      </w:r>
      <w:r w:rsidRPr="00CE2AA0">
        <w:t>C.The SLN suspension was diluted by 5-folds with ultrapure water before measurement. The entrapment efficiency</w:t>
      </w:r>
      <w:r w:rsidR="00B11BB0">
        <w:t xml:space="preserve"> </w:t>
      </w:r>
      <w:r w:rsidRPr="00CE2AA0">
        <w:t>( EE% ) was measured using ultrafiltration cells (Amicon</w:t>
      </w:r>
      <w:r w:rsidRPr="00692B36">
        <w:rPr>
          <w:vertAlign w:val="superscript"/>
        </w:rPr>
        <w:t>®</w:t>
      </w:r>
      <w:r w:rsidR="00180DD4">
        <w:t>Ultra-0.5, USA).</w:t>
      </w:r>
      <w:r w:rsidRPr="00CE2AA0">
        <w:t xml:space="preserve"> </w:t>
      </w:r>
      <w:r w:rsidR="00180DD4">
        <w:t>B</w:t>
      </w:r>
      <w:r w:rsidRPr="00CE2AA0">
        <w:t>riefly, 0.4 mL of the SLN suspension was added into the ultrafiltration cell. After centrifuging at 12000 g for 5 min, 0.2 mL of outer aqueous phase was taken out and processed with a conventional liquid-liquid extraction method, using coumarin 6 as internal standard and diethyl ether as extract solvent. Finally, the re-dissolved acetonitrile solution of P2 was determined by Cary Eclipse fluorospectrophotometer, and the amount of free P2 (</w:t>
      </w:r>
      <w:r w:rsidRPr="00CE2AA0">
        <w:rPr>
          <w:i/>
        </w:rPr>
        <w:t>W</w:t>
      </w:r>
      <w:r w:rsidRPr="00CE2AA0">
        <w:rPr>
          <w:vertAlign w:val="subscript"/>
        </w:rPr>
        <w:t>f</w:t>
      </w:r>
      <w:r w:rsidRPr="00CE2AA0">
        <w:t xml:space="preserve">) was calculated. The total amount of P2 in the formulation was represented with </w:t>
      </w:r>
      <w:r w:rsidRPr="00CE2AA0">
        <w:rPr>
          <w:i/>
        </w:rPr>
        <w:t>W</w:t>
      </w:r>
      <w:r w:rsidRPr="00CE2AA0">
        <w:rPr>
          <w:vertAlign w:val="subscript"/>
        </w:rPr>
        <w:t>t</w:t>
      </w:r>
      <w:r w:rsidRPr="00CE2AA0">
        <w:t>, Then EE% could be calculated as EE (%) = (</w:t>
      </w:r>
      <w:r w:rsidRPr="00692B36">
        <w:rPr>
          <w:i/>
        </w:rPr>
        <w:t>W</w:t>
      </w:r>
      <w:r w:rsidRPr="00692B36">
        <w:rPr>
          <w:vertAlign w:val="subscript"/>
        </w:rPr>
        <w:t>t</w:t>
      </w:r>
      <w:r>
        <w:t xml:space="preserve"> </w:t>
      </w:r>
      <w:r w:rsidRPr="00CE2AA0">
        <w:lastRenderedPageBreak/>
        <w:t>-</w:t>
      </w:r>
      <w:r>
        <w:t xml:space="preserve"> </w:t>
      </w:r>
      <w:r w:rsidRPr="00692B36">
        <w:rPr>
          <w:i/>
        </w:rPr>
        <w:t>W</w:t>
      </w:r>
      <w:r w:rsidRPr="00692B36">
        <w:rPr>
          <w:vertAlign w:val="subscript"/>
        </w:rPr>
        <w:t>f</w:t>
      </w:r>
      <w:r w:rsidRPr="00CE2AA0">
        <w:t>)/</w:t>
      </w:r>
      <w:r w:rsidRPr="00692B36">
        <w:rPr>
          <w:i/>
        </w:rPr>
        <w:t>W</w:t>
      </w:r>
      <w:r w:rsidRPr="00692B36">
        <w:rPr>
          <w:vertAlign w:val="subscript"/>
        </w:rPr>
        <w:t>t</w:t>
      </w:r>
      <w:r w:rsidRPr="00CE2AA0">
        <w:t xml:space="preserve"> </w:t>
      </w:r>
      <w:r w:rsidRPr="00CE2AA0">
        <w:sym w:font="Symbol" w:char="F0B4"/>
      </w:r>
      <w:r w:rsidRPr="00CE2AA0">
        <w:t xml:space="preserve"> 100%. The morphology of the NLCs was observed using a transmission electron microscope (TEM) (JEM-1230 Electron microscope, JEOL, Japan). The samples were negatively stained with 1% (w/v) uranyl acetate and placed on copper grids for TEM observation. DiR-SLNs were prepared and characterized using the same methods, with P2 replaced by equimolar DiR.</w:t>
      </w:r>
    </w:p>
    <w:p w:rsidR="009C0621" w:rsidRDefault="009C0621" w:rsidP="009C0621">
      <w:pPr>
        <w:snapToGrid w:val="0"/>
        <w:spacing w:afterLines="50" w:after="120" w:line="480" w:lineRule="auto"/>
        <w:jc w:val="both"/>
        <w:rPr>
          <w:b/>
        </w:rPr>
      </w:pPr>
      <w:r w:rsidRPr="00CE2AA0">
        <w:rPr>
          <w:i/>
        </w:rPr>
        <w:t>In vitro lipolysis of SLNs</w:t>
      </w:r>
      <w:r w:rsidRPr="00CE2AA0">
        <w:rPr>
          <w:b/>
        </w:rPr>
        <w:t xml:space="preserve"> </w:t>
      </w:r>
    </w:p>
    <w:p w:rsidR="009C0621" w:rsidRPr="00DD13D2" w:rsidRDefault="009C0621" w:rsidP="009C0621">
      <w:pPr>
        <w:snapToGrid w:val="0"/>
        <w:spacing w:afterLines="50" w:after="120" w:line="480" w:lineRule="auto"/>
        <w:ind w:firstLineChars="150" w:firstLine="360"/>
        <w:jc w:val="both"/>
        <w:rPr>
          <w:color w:val="0000FF"/>
        </w:rPr>
      </w:pPr>
      <w:r w:rsidRPr="00CE2AA0">
        <w:rPr>
          <w:i/>
        </w:rPr>
        <w:t>In vitro</w:t>
      </w:r>
      <w:r w:rsidRPr="00CE2AA0">
        <w:t xml:space="preserve"> lipolysis study </w:t>
      </w:r>
      <w:r>
        <w:t xml:space="preserve">of SLNs </w:t>
      </w:r>
      <w:r w:rsidRPr="00CE2AA0">
        <w:t>was performed according to a reported method with modifications in three digestive media of different bile salts and phospholipid content</w:t>
      </w:r>
      <w:r>
        <w:t>.</w:t>
      </w:r>
      <w:r w:rsidRPr="00CE2AA0">
        <w:t xml:space="preserve"> The media were composed of pH 7.5 buffer (50 mM Tris-maleate, 150 mM NaCl, 5 mM CaCl</w:t>
      </w:r>
      <w:r w:rsidRPr="00CE2AA0">
        <w:rPr>
          <w:vertAlign w:val="subscript"/>
        </w:rPr>
        <w:t>2</w:t>
      </w:r>
      <w:r w:rsidRPr="00CE2AA0">
        <w:t>) and STC/lecithin in the ratios of 6.25 mM / 1.563, 25 mM / 6.25 mM and 0 mM / 0 mM for medium A, B and C, respectively. Briefly, add 10 mL P2-SLNs or DiR-SLNs suspension into 30 mL medium, adjust pH to 7.50±0.05 and preheat to 37±0.5</w:t>
      </w:r>
      <w:r w:rsidRPr="00CE2AA0">
        <w:sym w:font="Symbol" w:char="F0B0"/>
      </w:r>
      <w:r w:rsidRPr="00CE2AA0">
        <w:t>C. Then 10 mL porcine pancreatic lipase solution (1000 tributyrin units/mL) was added to initiate digestion. The reaction process was continuously monitored using a pH-stat titrator (TitraLab</w:t>
      </w:r>
      <w:r w:rsidRPr="00692B36">
        <w:rPr>
          <w:vertAlign w:val="superscript"/>
        </w:rPr>
        <w:t>®</w:t>
      </w:r>
      <w:r w:rsidRPr="00CE2AA0">
        <w:t xml:space="preserve"> 854, Radiometer Analytical) under stirring at 37±0.5</w:t>
      </w:r>
      <w:r w:rsidRPr="00CE2AA0">
        <w:sym w:font="Symbol" w:char="F0B0"/>
      </w:r>
      <w:r w:rsidRPr="00CE2AA0">
        <w:t xml:space="preserve">C, maintaining the pH at 7.5 by automatic compensation of 0.2 M NaOH. At definite time intervals, 1mL reaction sample was withdrawn, and the lipase activity was immediately terminated by addition of 10 μL 0.5 M 4-bromophenylboronic acid methanol solution. Then the samples were transferred to 96-well plates with a pipette, 200 μL per cell, three wells per sample. Immediately, the fluorescence of the samples were measured by the IVIS spectrum live imaging system (Caliper LifeSciences) with excitation/emission wavelength set at 710/760 nm for P2-SLNs and 745/800 nm for DiR-SLNs, respectively. Photos were captured under automatic exposure mode, regions of interest (ROI) were drawn over the fluorescent signals in photos, </w:t>
      </w:r>
      <w:r w:rsidRPr="00DD13D2">
        <w:rPr>
          <w:color w:val="0000FF"/>
        </w:rPr>
        <w:t>and average radiant efficiency (ARE</w:t>
      </w:r>
      <w:r w:rsidR="00B11BB0" w:rsidRPr="00DD13D2">
        <w:rPr>
          <w:color w:val="0000FF"/>
        </w:rPr>
        <w:t xml:space="preserve">) </w:t>
      </w:r>
      <w:r w:rsidRPr="00DD13D2">
        <w:rPr>
          <w:color w:val="0000FF"/>
        </w:rPr>
        <w:t>in the unit of (p/sec/cm</w:t>
      </w:r>
      <w:r w:rsidRPr="00DD13D2">
        <w:rPr>
          <w:color w:val="0000FF"/>
          <w:vertAlign w:val="superscript"/>
        </w:rPr>
        <w:t>2</w:t>
      </w:r>
      <w:r w:rsidRPr="00DD13D2">
        <w:rPr>
          <w:color w:val="0000FF"/>
        </w:rPr>
        <w:t>/sr)/(μW/cm</w:t>
      </w:r>
      <w:r w:rsidRPr="00DD13D2">
        <w:rPr>
          <w:color w:val="0000FF"/>
          <w:vertAlign w:val="superscript"/>
        </w:rPr>
        <w:t>2</w:t>
      </w:r>
      <w:r w:rsidRPr="00DD13D2">
        <w:rPr>
          <w:color w:val="0000FF"/>
        </w:rPr>
        <w:t xml:space="preserve">) within the ROIs were measured by vendor software for subsequent </w:t>
      </w:r>
      <w:r w:rsidRPr="00DD13D2">
        <w:rPr>
          <w:color w:val="0000FF"/>
        </w:rPr>
        <w:lastRenderedPageBreak/>
        <w:t>quantitative analysis.</w:t>
      </w:r>
      <w:r w:rsidR="00B11BB0" w:rsidRPr="00DD13D2">
        <w:rPr>
          <w:color w:val="0000FF"/>
        </w:rPr>
        <w:t xml:space="preserve"> Each experiment was repeated three times </w:t>
      </w:r>
      <w:r w:rsidR="002B56C6" w:rsidRPr="00DD13D2">
        <w:rPr>
          <w:color w:val="0000FF"/>
        </w:rPr>
        <w:t>and data were presented</w:t>
      </w:r>
      <w:r w:rsidR="00B11BB0" w:rsidRPr="00DD13D2">
        <w:rPr>
          <w:color w:val="0000FF"/>
        </w:rPr>
        <w:t xml:space="preserve"> as </w:t>
      </w:r>
      <w:r w:rsidR="002B56C6" w:rsidRPr="00DD13D2">
        <w:rPr>
          <w:color w:val="0000FF"/>
        </w:rPr>
        <w:t>mean ± SD.</w:t>
      </w:r>
    </w:p>
    <w:p w:rsidR="00724D0B" w:rsidRPr="008B767A" w:rsidRDefault="00724D0B" w:rsidP="00724D0B">
      <w:pPr>
        <w:rPr>
          <w:rFonts w:ascii="Arial" w:hAnsi="Arial" w:cs="Arial"/>
          <w:szCs w:val="21"/>
        </w:rPr>
      </w:pPr>
      <w:r w:rsidRPr="008B767A">
        <w:rPr>
          <w:rFonts w:ascii="Arial" w:hAnsi="Arial" w:cs="Arial"/>
          <w:b/>
          <w:szCs w:val="21"/>
        </w:rPr>
        <w:t>Table S1</w:t>
      </w:r>
      <w:r w:rsidRPr="008B767A">
        <w:rPr>
          <w:rFonts w:ascii="Arial" w:hAnsi="Arial" w:cs="Arial"/>
          <w:szCs w:val="21"/>
        </w:rPr>
        <w:t xml:space="preserve"> Fluorescence intensity at different time after dispersing P1, P2, P3 or P4 acetonitrile solution into different media (Mean±SD, </w:t>
      </w:r>
      <w:r w:rsidRPr="008B767A">
        <w:rPr>
          <w:rFonts w:ascii="Arial" w:hAnsi="Arial" w:cs="Arial"/>
          <w:i/>
          <w:szCs w:val="21"/>
        </w:rPr>
        <w:t>n</w:t>
      </w:r>
      <w:r w:rsidRPr="008B767A">
        <w:rPr>
          <w:rFonts w:ascii="Arial" w:hAnsi="Arial" w:cs="Arial"/>
          <w:szCs w:val="21"/>
        </w:rPr>
        <w:t>=3)</w:t>
      </w:r>
    </w:p>
    <w:p w:rsidR="00724D0B" w:rsidRPr="00334605" w:rsidRDefault="00724D0B" w:rsidP="00724D0B">
      <w:pPr>
        <w:jc w:val="center"/>
        <w:rPr>
          <w:rFonts w:ascii="Arial" w:hAnsi="Arial" w:cs="Arial"/>
        </w:rPr>
      </w:pPr>
    </w:p>
    <w:tbl>
      <w:tblPr>
        <w:tblW w:w="0" w:type="auto"/>
        <w:jc w:val="center"/>
        <w:tblBorders>
          <w:top w:val="single" w:sz="4" w:space="0" w:color="auto"/>
          <w:bottom w:val="single" w:sz="4" w:space="0" w:color="auto"/>
        </w:tblBorders>
        <w:tblLook w:val="04A0" w:firstRow="1" w:lastRow="0" w:firstColumn="1" w:lastColumn="0" w:noHBand="0" w:noVBand="1"/>
      </w:tblPr>
      <w:tblGrid>
        <w:gridCol w:w="1207"/>
        <w:gridCol w:w="537"/>
        <w:gridCol w:w="1312"/>
        <w:gridCol w:w="1312"/>
        <w:gridCol w:w="1313"/>
        <w:gridCol w:w="1312"/>
        <w:gridCol w:w="1313"/>
      </w:tblGrid>
      <w:tr w:rsidR="00724D0B" w:rsidRPr="000F42BB" w:rsidTr="000F42BB">
        <w:trPr>
          <w:jc w:val="center"/>
        </w:trPr>
        <w:tc>
          <w:tcPr>
            <w:tcW w:w="1207" w:type="dxa"/>
            <w:vMerge w:val="restart"/>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Media</w:t>
            </w:r>
          </w:p>
        </w:tc>
        <w:tc>
          <w:tcPr>
            <w:tcW w:w="537" w:type="dxa"/>
            <w:vMerge w:val="restart"/>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Dye</w:t>
            </w:r>
          </w:p>
        </w:tc>
        <w:tc>
          <w:tcPr>
            <w:tcW w:w="6562" w:type="dxa"/>
            <w:gridSpan w:val="5"/>
            <w:tcBorders>
              <w:top w:val="single" w:sz="4" w:space="0" w:color="auto"/>
              <w:bottom w:val="single" w:sz="4" w:space="0" w:color="auto"/>
            </w:tcBorders>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Time (h)</w:t>
            </w:r>
          </w:p>
        </w:tc>
      </w:tr>
      <w:tr w:rsidR="00724D0B" w:rsidRPr="000F42BB" w:rsidTr="000F42BB">
        <w:trPr>
          <w:jc w:val="center"/>
        </w:trPr>
        <w:tc>
          <w:tcPr>
            <w:tcW w:w="1207" w:type="dxa"/>
            <w:vMerge/>
            <w:tcBorders>
              <w:bottom w:val="single" w:sz="4" w:space="0" w:color="auto"/>
            </w:tcBorders>
            <w:shd w:val="clear" w:color="auto" w:fill="auto"/>
          </w:tcPr>
          <w:p w:rsidR="00724D0B" w:rsidRPr="000F42BB" w:rsidRDefault="00724D0B" w:rsidP="000F42BB">
            <w:pPr>
              <w:spacing w:line="360" w:lineRule="auto"/>
              <w:jc w:val="center"/>
              <w:rPr>
                <w:rFonts w:ascii="Arial" w:eastAsia="宋体" w:hAnsi="Arial" w:cs="Arial"/>
                <w:kern w:val="2"/>
                <w:sz w:val="18"/>
                <w:szCs w:val="18"/>
              </w:rPr>
            </w:pPr>
          </w:p>
        </w:tc>
        <w:tc>
          <w:tcPr>
            <w:tcW w:w="537" w:type="dxa"/>
            <w:vMerge/>
            <w:tcBorders>
              <w:bottom w:val="single" w:sz="4" w:space="0" w:color="auto"/>
            </w:tcBorders>
            <w:shd w:val="clear" w:color="auto" w:fill="auto"/>
          </w:tcPr>
          <w:p w:rsidR="00724D0B" w:rsidRPr="000F42BB" w:rsidRDefault="00724D0B" w:rsidP="000F42BB">
            <w:pPr>
              <w:spacing w:line="360" w:lineRule="auto"/>
              <w:jc w:val="center"/>
              <w:rPr>
                <w:rFonts w:ascii="Arial" w:eastAsia="宋体" w:hAnsi="Arial" w:cs="Arial"/>
                <w:kern w:val="2"/>
                <w:sz w:val="18"/>
                <w:szCs w:val="18"/>
              </w:rPr>
            </w:pPr>
          </w:p>
        </w:tc>
        <w:tc>
          <w:tcPr>
            <w:tcW w:w="1312" w:type="dxa"/>
            <w:tcBorders>
              <w:top w:val="single" w:sz="4" w:space="0" w:color="auto"/>
              <w:bottom w:val="single" w:sz="4" w:space="0" w:color="auto"/>
            </w:tcBorders>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0</w:t>
            </w:r>
          </w:p>
        </w:tc>
        <w:tc>
          <w:tcPr>
            <w:tcW w:w="1312" w:type="dxa"/>
            <w:tcBorders>
              <w:top w:val="single" w:sz="4" w:space="0" w:color="auto"/>
              <w:bottom w:val="single" w:sz="4" w:space="0" w:color="auto"/>
            </w:tcBorders>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4</w:t>
            </w:r>
          </w:p>
        </w:tc>
        <w:tc>
          <w:tcPr>
            <w:tcW w:w="1313" w:type="dxa"/>
            <w:tcBorders>
              <w:top w:val="single" w:sz="4" w:space="0" w:color="auto"/>
              <w:bottom w:val="single" w:sz="4" w:space="0" w:color="auto"/>
            </w:tcBorders>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8</w:t>
            </w:r>
          </w:p>
        </w:tc>
        <w:tc>
          <w:tcPr>
            <w:tcW w:w="1312" w:type="dxa"/>
            <w:tcBorders>
              <w:top w:val="single" w:sz="4" w:space="0" w:color="auto"/>
              <w:bottom w:val="single" w:sz="4" w:space="0" w:color="auto"/>
            </w:tcBorders>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12</w:t>
            </w:r>
          </w:p>
        </w:tc>
        <w:tc>
          <w:tcPr>
            <w:tcW w:w="1313" w:type="dxa"/>
            <w:tcBorders>
              <w:top w:val="single" w:sz="4" w:space="0" w:color="auto"/>
              <w:bottom w:val="single" w:sz="4" w:space="0" w:color="auto"/>
            </w:tcBorders>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24</w:t>
            </w:r>
          </w:p>
        </w:tc>
      </w:tr>
      <w:tr w:rsidR="00724D0B" w:rsidRPr="000F42BB" w:rsidTr="000F42BB">
        <w:trPr>
          <w:jc w:val="center"/>
        </w:trPr>
        <w:tc>
          <w:tcPr>
            <w:tcW w:w="1207" w:type="dxa"/>
            <w:tcBorders>
              <w:top w:val="single" w:sz="4" w:space="0" w:color="auto"/>
            </w:tcBorders>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Acetonitrile</w:t>
            </w:r>
          </w:p>
        </w:tc>
        <w:tc>
          <w:tcPr>
            <w:tcW w:w="537" w:type="dxa"/>
            <w:tcBorders>
              <w:top w:val="single" w:sz="4" w:space="0" w:color="auto"/>
            </w:tcBorders>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P1</w:t>
            </w:r>
          </w:p>
        </w:tc>
        <w:tc>
          <w:tcPr>
            <w:tcW w:w="1312" w:type="dxa"/>
            <w:tcBorders>
              <w:top w:val="single" w:sz="4" w:space="0" w:color="auto"/>
            </w:tcBorders>
            <w:shd w:val="clear" w:color="auto" w:fill="auto"/>
          </w:tcPr>
          <w:p w:rsidR="00724D0B" w:rsidRPr="000F42BB" w:rsidRDefault="00724D0B" w:rsidP="000F42BB">
            <w:pPr>
              <w:spacing w:line="360" w:lineRule="auto"/>
              <w:jc w:val="center"/>
              <w:rPr>
                <w:rFonts w:ascii="Arial" w:eastAsia="宋体" w:hAnsi="Arial" w:cs="Arial"/>
                <w:kern w:val="2"/>
                <w:sz w:val="18"/>
                <w:szCs w:val="18"/>
              </w:rPr>
            </w:pPr>
            <w:bookmarkStart w:id="3" w:name="OLE_LINK2"/>
            <w:r w:rsidRPr="000F42BB">
              <w:rPr>
                <w:rFonts w:ascii="Arial" w:eastAsia="宋体" w:hAnsi="Arial" w:cs="Arial"/>
                <w:kern w:val="2"/>
                <w:sz w:val="18"/>
                <w:szCs w:val="18"/>
              </w:rPr>
              <w:t>230.7</w:t>
            </w:r>
            <w:bookmarkEnd w:id="3"/>
            <w:r w:rsidRPr="000F42BB">
              <w:rPr>
                <w:rFonts w:ascii="Arial" w:eastAsia="宋体" w:hAnsi="Arial" w:cs="Arial"/>
                <w:kern w:val="2"/>
                <w:sz w:val="18"/>
                <w:szCs w:val="18"/>
              </w:rPr>
              <w:t>±2.6</w:t>
            </w:r>
          </w:p>
        </w:tc>
        <w:tc>
          <w:tcPr>
            <w:tcW w:w="1312" w:type="dxa"/>
            <w:tcBorders>
              <w:top w:val="single" w:sz="4" w:space="0" w:color="auto"/>
            </w:tcBorders>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228.8±1.9</w:t>
            </w:r>
          </w:p>
        </w:tc>
        <w:tc>
          <w:tcPr>
            <w:tcW w:w="1313" w:type="dxa"/>
            <w:tcBorders>
              <w:top w:val="single" w:sz="4" w:space="0" w:color="auto"/>
            </w:tcBorders>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224.9±3.1</w:t>
            </w:r>
          </w:p>
        </w:tc>
        <w:tc>
          <w:tcPr>
            <w:tcW w:w="1312" w:type="dxa"/>
            <w:tcBorders>
              <w:top w:val="single" w:sz="4" w:space="0" w:color="auto"/>
            </w:tcBorders>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229.5±2.5</w:t>
            </w:r>
          </w:p>
        </w:tc>
        <w:tc>
          <w:tcPr>
            <w:tcW w:w="1313" w:type="dxa"/>
            <w:tcBorders>
              <w:top w:val="single" w:sz="4" w:space="0" w:color="auto"/>
            </w:tcBorders>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226.4±2.9</w:t>
            </w:r>
          </w:p>
        </w:tc>
      </w:tr>
      <w:tr w:rsidR="00724D0B" w:rsidRPr="000F42BB" w:rsidTr="000F42BB">
        <w:trPr>
          <w:jc w:val="center"/>
        </w:trPr>
        <w:tc>
          <w:tcPr>
            <w:tcW w:w="120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p>
        </w:tc>
        <w:tc>
          <w:tcPr>
            <w:tcW w:w="53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P2</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275.0±3.2</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272.2±2.6</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269.7±3.8</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273.5±3.6</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272.0±2.5</w:t>
            </w:r>
          </w:p>
        </w:tc>
      </w:tr>
      <w:tr w:rsidR="00724D0B" w:rsidRPr="000F42BB" w:rsidTr="000F42BB">
        <w:trPr>
          <w:jc w:val="center"/>
        </w:trPr>
        <w:tc>
          <w:tcPr>
            <w:tcW w:w="120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p>
        </w:tc>
        <w:tc>
          <w:tcPr>
            <w:tcW w:w="53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P3</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280.4±2.4</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283.7±2.5</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288.4±2.9</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285.1±2.0</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285.8±1.7</w:t>
            </w:r>
          </w:p>
        </w:tc>
      </w:tr>
      <w:tr w:rsidR="00724D0B" w:rsidRPr="000F42BB" w:rsidTr="000F42BB">
        <w:trPr>
          <w:jc w:val="center"/>
        </w:trPr>
        <w:tc>
          <w:tcPr>
            <w:tcW w:w="120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p>
        </w:tc>
        <w:tc>
          <w:tcPr>
            <w:tcW w:w="53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P4</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775.3±9.4</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777.1±10.3</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772.6±8.7</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779.5±7.9</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774.8±7.3</w:t>
            </w:r>
          </w:p>
        </w:tc>
      </w:tr>
      <w:tr w:rsidR="00724D0B" w:rsidRPr="000F42BB" w:rsidTr="000F42BB">
        <w:trPr>
          <w:jc w:val="center"/>
        </w:trPr>
        <w:tc>
          <w:tcPr>
            <w:tcW w:w="120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Water</w:t>
            </w:r>
          </w:p>
        </w:tc>
        <w:tc>
          <w:tcPr>
            <w:tcW w:w="53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P1</w:t>
            </w:r>
          </w:p>
        </w:tc>
        <w:tc>
          <w:tcPr>
            <w:tcW w:w="1312" w:type="dxa"/>
            <w:shd w:val="clear" w:color="auto" w:fill="auto"/>
          </w:tcPr>
          <w:p w:rsidR="00724D0B" w:rsidRPr="000F42BB" w:rsidRDefault="00724D0B" w:rsidP="000F42BB">
            <w:pPr>
              <w:spacing w:line="360" w:lineRule="auto"/>
              <w:rPr>
                <w:rFonts w:ascii="Arial" w:eastAsia="宋体" w:hAnsi="Arial" w:cs="Arial"/>
                <w:kern w:val="2"/>
                <w:sz w:val="18"/>
                <w:szCs w:val="18"/>
              </w:rPr>
            </w:pPr>
            <w:r w:rsidRPr="000F42BB">
              <w:rPr>
                <w:rFonts w:ascii="Arial" w:eastAsia="宋体" w:hAnsi="Arial" w:cs="Arial"/>
                <w:kern w:val="2"/>
                <w:sz w:val="18"/>
                <w:szCs w:val="18"/>
              </w:rPr>
              <w:t>0.435±0.025</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0.521±0.031</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0.509±0.025</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0.514±0.018</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0.418±0.028</w:t>
            </w:r>
          </w:p>
        </w:tc>
      </w:tr>
      <w:tr w:rsidR="00724D0B" w:rsidRPr="000F42BB" w:rsidTr="000F42BB">
        <w:trPr>
          <w:jc w:val="center"/>
        </w:trPr>
        <w:tc>
          <w:tcPr>
            <w:tcW w:w="120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p>
        </w:tc>
        <w:tc>
          <w:tcPr>
            <w:tcW w:w="53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P2</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0.528±0.042</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0.404±0.021</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0.462±0.031</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0.211±0.096</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0.313±0.057</w:t>
            </w:r>
          </w:p>
        </w:tc>
      </w:tr>
      <w:tr w:rsidR="00724D0B" w:rsidRPr="000F42BB" w:rsidTr="000F42BB">
        <w:trPr>
          <w:jc w:val="center"/>
        </w:trPr>
        <w:tc>
          <w:tcPr>
            <w:tcW w:w="120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p>
        </w:tc>
        <w:tc>
          <w:tcPr>
            <w:tcW w:w="53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P3</w:t>
            </w:r>
          </w:p>
        </w:tc>
        <w:tc>
          <w:tcPr>
            <w:tcW w:w="1312" w:type="dxa"/>
            <w:shd w:val="clear" w:color="auto" w:fill="auto"/>
          </w:tcPr>
          <w:p w:rsidR="00724D0B" w:rsidRPr="000F42BB" w:rsidRDefault="00724D0B" w:rsidP="000F42BB">
            <w:pPr>
              <w:spacing w:line="360" w:lineRule="auto"/>
              <w:rPr>
                <w:rFonts w:ascii="Arial" w:eastAsia="宋体" w:hAnsi="Arial" w:cs="Arial"/>
                <w:kern w:val="2"/>
                <w:sz w:val="18"/>
                <w:szCs w:val="18"/>
              </w:rPr>
            </w:pPr>
            <w:r w:rsidRPr="000F42BB">
              <w:rPr>
                <w:rFonts w:ascii="Arial" w:eastAsia="宋体" w:hAnsi="Arial" w:cs="Arial"/>
                <w:kern w:val="2"/>
                <w:sz w:val="18"/>
                <w:szCs w:val="18"/>
              </w:rPr>
              <w:t>0.787±0.037</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0.625±0.035</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0.945±0.084</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0.897±0.064</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1.023±0.097</w:t>
            </w:r>
          </w:p>
        </w:tc>
      </w:tr>
      <w:tr w:rsidR="00724D0B" w:rsidRPr="000F42BB" w:rsidTr="000F42BB">
        <w:trPr>
          <w:jc w:val="center"/>
        </w:trPr>
        <w:tc>
          <w:tcPr>
            <w:tcW w:w="120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p>
        </w:tc>
        <w:tc>
          <w:tcPr>
            <w:tcW w:w="53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P4</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2.174±0.187</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3.192±0.201</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2.644±0.208</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2.801±0.145</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2.783±0.215</w:t>
            </w:r>
          </w:p>
        </w:tc>
      </w:tr>
      <w:tr w:rsidR="00724D0B" w:rsidRPr="000F42BB" w:rsidTr="000F42BB">
        <w:trPr>
          <w:jc w:val="center"/>
        </w:trPr>
        <w:tc>
          <w:tcPr>
            <w:tcW w:w="120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1%Tween80</w:t>
            </w:r>
          </w:p>
        </w:tc>
        <w:tc>
          <w:tcPr>
            <w:tcW w:w="53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P1</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56.3±7.7</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52.8±8.2</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53.9±6.9</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51.9±7.6</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57.4±8.1</w:t>
            </w:r>
          </w:p>
        </w:tc>
      </w:tr>
      <w:tr w:rsidR="00724D0B" w:rsidRPr="000F42BB" w:rsidTr="000F42BB">
        <w:trPr>
          <w:jc w:val="center"/>
        </w:trPr>
        <w:tc>
          <w:tcPr>
            <w:tcW w:w="120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p>
        </w:tc>
        <w:tc>
          <w:tcPr>
            <w:tcW w:w="53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P2</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88.1±15.4</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88.5±11.2</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89.5±10.8</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83.6±8.9</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87.1±8.2</w:t>
            </w:r>
          </w:p>
        </w:tc>
      </w:tr>
      <w:tr w:rsidR="00724D0B" w:rsidRPr="000F42BB" w:rsidTr="000F42BB">
        <w:trPr>
          <w:jc w:val="center"/>
        </w:trPr>
        <w:tc>
          <w:tcPr>
            <w:tcW w:w="120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p>
        </w:tc>
        <w:tc>
          <w:tcPr>
            <w:tcW w:w="53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P3</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99.4±10.6</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103.5±9.7</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105.3±8.8</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104.7±7.2</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103.4±6.6</w:t>
            </w:r>
          </w:p>
        </w:tc>
      </w:tr>
      <w:tr w:rsidR="00724D0B" w:rsidRPr="000F42BB" w:rsidTr="000F42BB">
        <w:trPr>
          <w:jc w:val="center"/>
        </w:trPr>
        <w:tc>
          <w:tcPr>
            <w:tcW w:w="120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p>
        </w:tc>
        <w:tc>
          <w:tcPr>
            <w:tcW w:w="53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P4</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457.8±18.7</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462.4±23.1</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459.2±21.9</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468.2±28.3</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465.8±22.8</w:t>
            </w:r>
          </w:p>
        </w:tc>
      </w:tr>
      <w:tr w:rsidR="00724D0B" w:rsidRPr="000F42BB" w:rsidTr="000F42BB">
        <w:trPr>
          <w:jc w:val="center"/>
        </w:trPr>
        <w:tc>
          <w:tcPr>
            <w:tcW w:w="120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FaSSIF</w:t>
            </w:r>
          </w:p>
        </w:tc>
        <w:tc>
          <w:tcPr>
            <w:tcW w:w="53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P1</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16.2±5.4</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21.4±3.7</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22.8±2.8</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20.8±2.1</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21.7±2.6</w:t>
            </w:r>
          </w:p>
        </w:tc>
      </w:tr>
      <w:tr w:rsidR="00724D0B" w:rsidRPr="000F42BB" w:rsidTr="000F42BB">
        <w:trPr>
          <w:jc w:val="center"/>
        </w:trPr>
        <w:tc>
          <w:tcPr>
            <w:tcW w:w="120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p>
        </w:tc>
        <w:tc>
          <w:tcPr>
            <w:tcW w:w="53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P2</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24.7±5.8</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26.0±5.1</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27.2±5.4</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28.4±4.5</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29.2±4.0</w:t>
            </w:r>
          </w:p>
        </w:tc>
      </w:tr>
      <w:tr w:rsidR="00724D0B" w:rsidRPr="000F42BB" w:rsidTr="000F42BB">
        <w:trPr>
          <w:jc w:val="center"/>
        </w:trPr>
        <w:tc>
          <w:tcPr>
            <w:tcW w:w="120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p>
        </w:tc>
        <w:tc>
          <w:tcPr>
            <w:tcW w:w="53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P3</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30.8±4.8</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32.7±5.4</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29.9±4.2</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33.3±3.9</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30.7±2.8</w:t>
            </w:r>
          </w:p>
        </w:tc>
      </w:tr>
      <w:tr w:rsidR="00724D0B" w:rsidRPr="000F42BB" w:rsidTr="000F42BB">
        <w:trPr>
          <w:jc w:val="center"/>
        </w:trPr>
        <w:tc>
          <w:tcPr>
            <w:tcW w:w="120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p>
        </w:tc>
        <w:tc>
          <w:tcPr>
            <w:tcW w:w="53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P4</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136.5±12.6</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133.9±10.8</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138.4±9.7</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140.2±8.8</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139.4±6.9</w:t>
            </w:r>
          </w:p>
        </w:tc>
      </w:tr>
      <w:tr w:rsidR="00724D0B" w:rsidRPr="000F42BB" w:rsidTr="000F42BB">
        <w:trPr>
          <w:jc w:val="center"/>
        </w:trPr>
        <w:tc>
          <w:tcPr>
            <w:tcW w:w="120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FeSSIF</w:t>
            </w:r>
          </w:p>
        </w:tc>
        <w:tc>
          <w:tcPr>
            <w:tcW w:w="53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P1</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60.2±5.3</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61.5±3.8</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59.9±4.4</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60.8±4.6</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62.3±3.4</w:t>
            </w:r>
          </w:p>
        </w:tc>
      </w:tr>
      <w:tr w:rsidR="00724D0B" w:rsidRPr="000F42BB" w:rsidTr="000F42BB">
        <w:trPr>
          <w:jc w:val="center"/>
        </w:trPr>
        <w:tc>
          <w:tcPr>
            <w:tcW w:w="120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p>
        </w:tc>
        <w:tc>
          <w:tcPr>
            <w:tcW w:w="53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P2</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95.2±9.3</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97.7±10.2</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100.2±8.8</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102.2±7.4</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102.9±6.5</w:t>
            </w:r>
          </w:p>
        </w:tc>
      </w:tr>
      <w:tr w:rsidR="00724D0B" w:rsidRPr="000F42BB" w:rsidTr="000F42BB">
        <w:trPr>
          <w:jc w:val="center"/>
        </w:trPr>
        <w:tc>
          <w:tcPr>
            <w:tcW w:w="120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p>
        </w:tc>
        <w:tc>
          <w:tcPr>
            <w:tcW w:w="53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P3</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114.5±7.9</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116.8±7.9</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119.4±6.2</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116.8±7.7</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118.6±6.3</w:t>
            </w:r>
          </w:p>
        </w:tc>
      </w:tr>
      <w:tr w:rsidR="00724D0B" w:rsidRPr="000F42BB" w:rsidTr="000F42BB">
        <w:trPr>
          <w:jc w:val="center"/>
        </w:trPr>
        <w:tc>
          <w:tcPr>
            <w:tcW w:w="120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p>
        </w:tc>
        <w:tc>
          <w:tcPr>
            <w:tcW w:w="537"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P4</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480.2±16.4</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476.8±17.8</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482.3±20.4</w:t>
            </w:r>
          </w:p>
        </w:tc>
        <w:tc>
          <w:tcPr>
            <w:tcW w:w="1312"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481.4±22.3</w:t>
            </w:r>
          </w:p>
        </w:tc>
        <w:tc>
          <w:tcPr>
            <w:tcW w:w="1313" w:type="dxa"/>
            <w:shd w:val="clear" w:color="auto" w:fill="auto"/>
          </w:tcPr>
          <w:p w:rsidR="00724D0B" w:rsidRPr="000F42BB" w:rsidRDefault="00724D0B" w:rsidP="000F42BB">
            <w:pPr>
              <w:spacing w:line="360" w:lineRule="auto"/>
              <w:jc w:val="center"/>
              <w:rPr>
                <w:rFonts w:ascii="Arial" w:eastAsia="宋体" w:hAnsi="Arial" w:cs="Arial"/>
                <w:kern w:val="2"/>
                <w:sz w:val="18"/>
                <w:szCs w:val="18"/>
              </w:rPr>
            </w:pPr>
            <w:r w:rsidRPr="000F42BB">
              <w:rPr>
                <w:rFonts w:ascii="Arial" w:eastAsia="宋体" w:hAnsi="Arial" w:cs="Arial"/>
                <w:kern w:val="2"/>
                <w:sz w:val="18"/>
                <w:szCs w:val="18"/>
              </w:rPr>
              <w:t>483.1±19.8</w:t>
            </w:r>
          </w:p>
        </w:tc>
      </w:tr>
    </w:tbl>
    <w:p w:rsidR="00724D0B" w:rsidRDefault="00724D0B" w:rsidP="00724D0B">
      <w:pPr>
        <w:pStyle w:val="Maintext"/>
        <w:rPr>
          <w:color w:val="FF0000"/>
        </w:rPr>
      </w:pPr>
    </w:p>
    <w:p w:rsidR="00D1678D" w:rsidRDefault="00D1678D" w:rsidP="00522EBD">
      <w:pPr>
        <w:snapToGrid w:val="0"/>
        <w:spacing w:afterLines="50" w:after="120"/>
        <w:jc w:val="center"/>
        <w:rPr>
          <w:rFonts w:ascii="Arial" w:hAnsi="Arial" w:cs="Arial"/>
          <w:noProof/>
          <w:lang w:val="en-US" w:eastAsia="zh-CN"/>
        </w:rPr>
      </w:pPr>
      <w:r>
        <w:rPr>
          <w:rFonts w:ascii="Arial" w:hAnsi="Arial" w:cs="Arial"/>
          <w:noProof/>
          <w:lang w:val="en-US" w:eastAsia="zh-CN"/>
        </w:rPr>
        <w:drawing>
          <wp:inline distT="0" distB="0" distL="0" distR="0">
            <wp:extent cx="5434066" cy="203835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Figure S1.tif"/>
                    <pic:cNvPicPr/>
                  </pic:nvPicPr>
                  <pic:blipFill>
                    <a:blip r:embed="rId6" cstate="print">
                      <a:extLst>
                        <a:ext uri="{28A0092B-C50C-407E-A947-70E740481C1C}">
                          <a14:useLocalDpi xmlns:a14="http://schemas.microsoft.com/office/drawing/2010/main" val="0"/>
                        </a:ext>
                      </a:extLst>
                    </a:blip>
                    <a:stretch>
                      <a:fillRect/>
                    </a:stretch>
                  </pic:blipFill>
                  <pic:spPr>
                    <a:xfrm>
                      <a:off x="0" y="0"/>
                      <a:ext cx="5444722" cy="2042347"/>
                    </a:xfrm>
                    <a:prstGeom prst="rect">
                      <a:avLst/>
                    </a:prstGeom>
                  </pic:spPr>
                </pic:pic>
              </a:graphicData>
            </a:graphic>
          </wp:inline>
        </w:drawing>
      </w:r>
    </w:p>
    <w:p w:rsidR="00724D0B" w:rsidRPr="008A72A7" w:rsidRDefault="00724D0B" w:rsidP="00522EBD">
      <w:pPr>
        <w:snapToGrid w:val="0"/>
        <w:spacing w:afterLines="50" w:after="120"/>
        <w:jc w:val="both"/>
        <w:rPr>
          <w:rFonts w:ascii="Arial" w:hAnsi="Arial" w:cs="Arial"/>
        </w:rPr>
      </w:pPr>
      <w:r w:rsidRPr="000C3F3F">
        <w:rPr>
          <w:rFonts w:ascii="Arial" w:hAnsi="Arial" w:cs="Arial" w:hint="eastAsia"/>
          <w:b/>
        </w:rPr>
        <w:t>F</w:t>
      </w:r>
      <w:r w:rsidRPr="000C3F3F">
        <w:rPr>
          <w:rFonts w:ascii="Arial" w:hAnsi="Arial" w:cs="Arial"/>
          <w:b/>
        </w:rPr>
        <w:t>igure S1</w:t>
      </w:r>
      <w:r>
        <w:rPr>
          <w:rFonts w:ascii="Arial" w:hAnsi="Arial" w:cs="Arial"/>
        </w:rPr>
        <w:t xml:space="preserve"> </w:t>
      </w:r>
      <w:r w:rsidRPr="00FD6865">
        <w:rPr>
          <w:rFonts w:ascii="Arial" w:hAnsi="Arial" w:cs="Arial"/>
        </w:rPr>
        <w:t>Fluorescence emission</w:t>
      </w:r>
      <w:r>
        <w:rPr>
          <w:rFonts w:ascii="Arial" w:hAnsi="Arial" w:cs="Arial"/>
        </w:rPr>
        <w:t xml:space="preserve"> </w:t>
      </w:r>
      <w:r w:rsidRPr="00FD6865">
        <w:rPr>
          <w:rFonts w:ascii="Arial" w:hAnsi="Arial" w:cs="Arial"/>
        </w:rPr>
        <w:t>(a) and visible absorption (b)</w:t>
      </w:r>
      <w:r>
        <w:rPr>
          <w:rFonts w:ascii="Arial" w:hAnsi="Arial" w:cs="Arial"/>
        </w:rPr>
        <w:t xml:space="preserve"> </w:t>
      </w:r>
      <w:r w:rsidRPr="00FD6865">
        <w:rPr>
          <w:rFonts w:ascii="Arial" w:hAnsi="Arial" w:cs="Arial"/>
        </w:rPr>
        <w:t>spectr</w:t>
      </w:r>
      <w:r>
        <w:rPr>
          <w:rFonts w:ascii="Arial" w:hAnsi="Arial" w:cs="Arial"/>
        </w:rPr>
        <w:t>a</w:t>
      </w:r>
      <w:r w:rsidRPr="00FD6865">
        <w:rPr>
          <w:rFonts w:ascii="Arial" w:hAnsi="Arial" w:cs="Arial"/>
        </w:rPr>
        <w:t xml:space="preserve"> of P</w:t>
      </w:r>
      <w:r>
        <w:rPr>
          <w:rFonts w:ascii="Arial" w:hAnsi="Arial" w:cs="Arial"/>
        </w:rPr>
        <w:t>1</w:t>
      </w:r>
      <w:r w:rsidRPr="00FD6865">
        <w:rPr>
          <w:rFonts w:ascii="Arial" w:hAnsi="Arial" w:cs="Arial"/>
        </w:rPr>
        <w:t xml:space="preserve"> in</w:t>
      </w:r>
      <w:r w:rsidRPr="00577036">
        <w:rPr>
          <w:rFonts w:ascii="Arial" w:hAnsi="Arial" w:cs="Arial"/>
        </w:rPr>
        <w:t xml:space="preserve"> </w:t>
      </w:r>
      <w:r w:rsidRPr="008A72A7">
        <w:rPr>
          <w:rFonts w:ascii="Arial" w:hAnsi="Arial" w:cs="Arial"/>
        </w:rPr>
        <w:t>acetonitrile-water binary solution at different ratios</w:t>
      </w:r>
      <w:r w:rsidRPr="008A72A7">
        <w:rPr>
          <w:rFonts w:ascii="Arial" w:hAnsi="Arial" w:cs="Arial" w:hint="eastAsia"/>
        </w:rPr>
        <w:t xml:space="preserve"> (</w:t>
      </w:r>
      <w:r w:rsidRPr="008A72A7">
        <w:rPr>
          <w:rFonts w:ascii="Arial" w:hAnsi="Arial" w:cs="Arial"/>
        </w:rPr>
        <w:t>5</w:t>
      </w:r>
      <w:r w:rsidRPr="008A72A7">
        <w:rPr>
          <w:rFonts w:ascii="Arial" w:hAnsi="Arial" w:cs="Arial" w:hint="eastAsia"/>
        </w:rPr>
        <w:t>×</w:t>
      </w:r>
      <w:r w:rsidRPr="008A72A7">
        <w:rPr>
          <w:rFonts w:ascii="Arial" w:hAnsi="Arial" w:cs="Arial" w:hint="eastAsia"/>
        </w:rPr>
        <w:t>10-</w:t>
      </w:r>
      <w:r w:rsidRPr="008A72A7">
        <w:rPr>
          <w:rFonts w:ascii="Arial" w:hAnsi="Arial" w:cs="Arial"/>
        </w:rPr>
        <w:t>6</w:t>
      </w:r>
      <w:r w:rsidRPr="008A72A7">
        <w:rPr>
          <w:rFonts w:ascii="Arial" w:hAnsi="Arial" w:cs="Arial" w:hint="eastAsia"/>
        </w:rPr>
        <w:t xml:space="preserve"> M at 25</w:t>
      </w:r>
      <w:r w:rsidR="008D2EFA" w:rsidRPr="008D2EFA">
        <w:sym w:font="Symbol" w:char="F0B0"/>
      </w:r>
      <w:r w:rsidR="008D2EFA">
        <w:rPr>
          <w:rFonts w:ascii="Arial" w:hAnsi="Arial" w:cs="Arial"/>
        </w:rPr>
        <w:t>C</w:t>
      </w:r>
      <w:r w:rsidRPr="008A72A7">
        <w:rPr>
          <w:rFonts w:ascii="Arial" w:hAnsi="Arial" w:cs="Arial" w:hint="eastAsia"/>
        </w:rPr>
        <w:t xml:space="preserve"> upon illumination at 6</w:t>
      </w:r>
      <w:r w:rsidRPr="008A72A7">
        <w:rPr>
          <w:rFonts w:ascii="Arial" w:hAnsi="Arial" w:cs="Arial"/>
        </w:rPr>
        <w:t>9</w:t>
      </w:r>
      <w:r w:rsidRPr="008A72A7">
        <w:rPr>
          <w:rFonts w:ascii="Arial" w:hAnsi="Arial" w:cs="Arial" w:hint="eastAsia"/>
        </w:rPr>
        <w:t>0 nm)</w:t>
      </w:r>
      <w:r w:rsidRPr="008A72A7">
        <w:rPr>
          <w:rFonts w:ascii="Arial" w:hAnsi="Arial" w:cs="Arial"/>
        </w:rPr>
        <w:t>. The inset shows the peak value of fluorescence intensity changes upon dilution by water.</w:t>
      </w:r>
    </w:p>
    <w:p w:rsidR="00724D0B" w:rsidRPr="00522EBD" w:rsidRDefault="00522EBD" w:rsidP="00522EBD">
      <w:pPr>
        <w:snapToGrid w:val="0"/>
        <w:spacing w:afterLines="50" w:after="120"/>
        <w:jc w:val="both"/>
        <w:rPr>
          <w:rFonts w:ascii="Arial" w:hAnsi="Arial" w:cs="Arial"/>
          <w:color w:val="0563C1"/>
          <w:u w:val="single"/>
        </w:rPr>
      </w:pPr>
      <w:r w:rsidRPr="00522EBD">
        <w:rPr>
          <w:rFonts w:ascii="Arial" w:hAnsi="Arial" w:cs="Arial"/>
          <w:noProof/>
          <w:color w:val="0563C1"/>
          <w:lang w:val="en-US" w:eastAsia="zh-CN"/>
        </w:rPr>
        <w:lastRenderedPageBreak/>
        <w:drawing>
          <wp:inline distT="0" distB="0" distL="0" distR="0">
            <wp:extent cx="5738780" cy="215265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igure S2.tif"/>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46092" cy="2155393"/>
                    </a:xfrm>
                    <a:prstGeom prst="rect">
                      <a:avLst/>
                    </a:prstGeom>
                  </pic:spPr>
                </pic:pic>
              </a:graphicData>
            </a:graphic>
          </wp:inline>
        </w:drawing>
      </w:r>
      <w:r w:rsidR="00724D0B" w:rsidRPr="000C3F3F">
        <w:rPr>
          <w:rFonts w:ascii="Arial" w:hAnsi="Arial" w:cs="Arial" w:hint="eastAsia"/>
          <w:b/>
        </w:rPr>
        <w:t>F</w:t>
      </w:r>
      <w:r w:rsidR="00724D0B" w:rsidRPr="000C3F3F">
        <w:rPr>
          <w:rFonts w:ascii="Arial" w:hAnsi="Arial" w:cs="Arial"/>
          <w:b/>
        </w:rPr>
        <w:t>igure S2</w:t>
      </w:r>
      <w:r w:rsidR="00724D0B">
        <w:rPr>
          <w:rFonts w:ascii="Arial" w:hAnsi="Arial" w:cs="Arial"/>
        </w:rPr>
        <w:t xml:space="preserve"> </w:t>
      </w:r>
      <w:r w:rsidR="00724D0B" w:rsidRPr="00FD6865">
        <w:rPr>
          <w:rFonts w:ascii="Arial" w:hAnsi="Arial" w:cs="Arial"/>
        </w:rPr>
        <w:t>Fluorescence emission</w:t>
      </w:r>
      <w:r w:rsidR="00724D0B">
        <w:rPr>
          <w:rFonts w:ascii="Arial" w:hAnsi="Arial" w:cs="Arial"/>
        </w:rPr>
        <w:t xml:space="preserve"> </w:t>
      </w:r>
      <w:r w:rsidR="00724D0B" w:rsidRPr="00FD6865">
        <w:rPr>
          <w:rFonts w:ascii="Arial" w:hAnsi="Arial" w:cs="Arial"/>
        </w:rPr>
        <w:t>(a) and visible absorption (b)</w:t>
      </w:r>
      <w:r w:rsidR="00724D0B">
        <w:rPr>
          <w:rFonts w:ascii="Arial" w:hAnsi="Arial" w:cs="Arial"/>
        </w:rPr>
        <w:t xml:space="preserve"> </w:t>
      </w:r>
      <w:r w:rsidR="00724D0B" w:rsidRPr="00FD6865">
        <w:rPr>
          <w:rFonts w:ascii="Arial" w:hAnsi="Arial" w:cs="Arial"/>
        </w:rPr>
        <w:t>spectr</w:t>
      </w:r>
      <w:r w:rsidR="00724D0B">
        <w:rPr>
          <w:rFonts w:ascii="Arial" w:hAnsi="Arial" w:cs="Arial"/>
        </w:rPr>
        <w:t>a</w:t>
      </w:r>
      <w:r w:rsidR="00724D0B" w:rsidRPr="00FD6865">
        <w:rPr>
          <w:rFonts w:ascii="Arial" w:hAnsi="Arial" w:cs="Arial"/>
        </w:rPr>
        <w:t xml:space="preserve"> of P</w:t>
      </w:r>
      <w:r w:rsidR="00724D0B">
        <w:rPr>
          <w:rFonts w:ascii="Arial" w:hAnsi="Arial" w:cs="Arial"/>
        </w:rPr>
        <w:t>3</w:t>
      </w:r>
      <w:r w:rsidR="00724D0B" w:rsidRPr="00FD6865">
        <w:rPr>
          <w:rFonts w:ascii="Arial" w:hAnsi="Arial" w:cs="Arial"/>
        </w:rPr>
        <w:t xml:space="preserve"> in</w:t>
      </w:r>
      <w:r w:rsidR="00724D0B" w:rsidRPr="00577036">
        <w:rPr>
          <w:rFonts w:ascii="Arial" w:hAnsi="Arial" w:cs="Arial"/>
        </w:rPr>
        <w:t xml:space="preserve"> </w:t>
      </w:r>
      <w:r w:rsidR="00724D0B" w:rsidRPr="008A72A7">
        <w:rPr>
          <w:rFonts w:ascii="Arial" w:hAnsi="Arial" w:cs="Arial"/>
        </w:rPr>
        <w:t xml:space="preserve">acetonitrile-water binary solution at different ratios </w:t>
      </w:r>
      <w:r w:rsidR="00724D0B" w:rsidRPr="008A72A7">
        <w:rPr>
          <w:rFonts w:ascii="Arial" w:hAnsi="Arial" w:cs="Arial" w:hint="eastAsia"/>
        </w:rPr>
        <w:t>(</w:t>
      </w:r>
      <w:r w:rsidR="00724D0B" w:rsidRPr="008A72A7">
        <w:rPr>
          <w:rFonts w:ascii="Arial" w:hAnsi="Arial" w:cs="Arial"/>
        </w:rPr>
        <w:t>1</w:t>
      </w:r>
      <w:r w:rsidR="00724D0B" w:rsidRPr="008A72A7">
        <w:rPr>
          <w:rFonts w:ascii="Arial" w:hAnsi="Arial" w:cs="Arial" w:hint="eastAsia"/>
        </w:rPr>
        <w:t>×</w:t>
      </w:r>
      <w:r w:rsidR="00724D0B" w:rsidRPr="008A72A7">
        <w:rPr>
          <w:rFonts w:ascii="Arial" w:hAnsi="Arial" w:cs="Arial" w:hint="eastAsia"/>
        </w:rPr>
        <w:t>10-</w:t>
      </w:r>
      <w:r w:rsidR="00724D0B" w:rsidRPr="008A72A7">
        <w:rPr>
          <w:rFonts w:ascii="Arial" w:hAnsi="Arial" w:cs="Arial"/>
        </w:rPr>
        <w:t>5</w:t>
      </w:r>
      <w:r w:rsidR="00724D0B" w:rsidRPr="008A72A7">
        <w:rPr>
          <w:rFonts w:ascii="Arial" w:hAnsi="Arial" w:cs="Arial" w:hint="eastAsia"/>
        </w:rPr>
        <w:t xml:space="preserve"> M at 25</w:t>
      </w:r>
      <w:r w:rsidR="008D2EFA" w:rsidRPr="008D2EFA">
        <w:sym w:font="Symbol" w:char="F0B0"/>
      </w:r>
      <w:r w:rsidR="008D2EFA">
        <w:rPr>
          <w:rFonts w:ascii="Arial" w:hAnsi="Arial" w:cs="Arial"/>
        </w:rPr>
        <w:t>C</w:t>
      </w:r>
      <w:r w:rsidR="00724D0B" w:rsidRPr="008A72A7">
        <w:rPr>
          <w:rFonts w:ascii="Arial" w:hAnsi="Arial" w:cs="Arial" w:hint="eastAsia"/>
        </w:rPr>
        <w:t xml:space="preserve"> upon illumination at 6</w:t>
      </w:r>
      <w:r w:rsidR="00724D0B" w:rsidRPr="008A72A7">
        <w:rPr>
          <w:rFonts w:ascii="Arial" w:hAnsi="Arial" w:cs="Arial"/>
        </w:rPr>
        <w:t>3</w:t>
      </w:r>
      <w:r w:rsidR="00724D0B" w:rsidRPr="008A72A7">
        <w:rPr>
          <w:rFonts w:ascii="Arial" w:hAnsi="Arial" w:cs="Arial" w:hint="eastAsia"/>
        </w:rPr>
        <w:t>0 nm)</w:t>
      </w:r>
      <w:r w:rsidR="00724D0B" w:rsidRPr="008A72A7">
        <w:rPr>
          <w:rFonts w:ascii="Arial" w:hAnsi="Arial" w:cs="Arial"/>
        </w:rPr>
        <w:t>. The inset shows the peak value of fluorescence intensity changes upon dilution by water.</w:t>
      </w:r>
    </w:p>
    <w:p w:rsidR="00724D0B" w:rsidRPr="00522EBD" w:rsidRDefault="00522EBD" w:rsidP="00522EBD">
      <w:pPr>
        <w:snapToGrid w:val="0"/>
        <w:spacing w:afterLines="50" w:after="120"/>
        <w:jc w:val="both"/>
        <w:rPr>
          <w:rFonts w:ascii="Arial" w:hAnsi="Arial" w:cs="Arial"/>
          <w:color w:val="0563C1"/>
          <w:u w:val="single"/>
        </w:rPr>
      </w:pPr>
      <w:r w:rsidRPr="00522EBD">
        <w:rPr>
          <w:rFonts w:ascii="Arial" w:hAnsi="Arial" w:cs="Arial"/>
          <w:noProof/>
          <w:color w:val="0563C1"/>
          <w:lang w:val="en-US" w:eastAsia="zh-CN"/>
        </w:rPr>
        <w:drawing>
          <wp:inline distT="0" distB="0" distL="0" distR="0">
            <wp:extent cx="5738780" cy="215265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Figure S3.t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52474" cy="2157787"/>
                    </a:xfrm>
                    <a:prstGeom prst="rect">
                      <a:avLst/>
                    </a:prstGeom>
                  </pic:spPr>
                </pic:pic>
              </a:graphicData>
            </a:graphic>
          </wp:inline>
        </w:drawing>
      </w:r>
      <w:r w:rsidR="00724D0B" w:rsidRPr="000C3F3F">
        <w:rPr>
          <w:rFonts w:ascii="Arial" w:hAnsi="Arial" w:cs="Arial" w:hint="eastAsia"/>
          <w:b/>
        </w:rPr>
        <w:t>F</w:t>
      </w:r>
      <w:r w:rsidR="00724D0B" w:rsidRPr="000C3F3F">
        <w:rPr>
          <w:rFonts w:ascii="Arial" w:hAnsi="Arial" w:cs="Arial"/>
          <w:b/>
        </w:rPr>
        <w:t>igure S3</w:t>
      </w:r>
      <w:r w:rsidR="00724D0B">
        <w:rPr>
          <w:rFonts w:ascii="Arial" w:hAnsi="Arial" w:cs="Arial"/>
        </w:rPr>
        <w:t xml:space="preserve"> </w:t>
      </w:r>
      <w:r w:rsidR="00724D0B" w:rsidRPr="00FD6865">
        <w:rPr>
          <w:rFonts w:ascii="Arial" w:hAnsi="Arial" w:cs="Arial"/>
        </w:rPr>
        <w:t>Fluorescence emission</w:t>
      </w:r>
      <w:r w:rsidR="00724D0B">
        <w:rPr>
          <w:rFonts w:ascii="Arial" w:hAnsi="Arial" w:cs="Arial"/>
        </w:rPr>
        <w:t xml:space="preserve"> </w:t>
      </w:r>
      <w:r w:rsidR="00724D0B" w:rsidRPr="00FD6865">
        <w:rPr>
          <w:rFonts w:ascii="Arial" w:hAnsi="Arial" w:cs="Arial"/>
        </w:rPr>
        <w:t>(a) and visible absorption (b)</w:t>
      </w:r>
      <w:r w:rsidR="00724D0B">
        <w:rPr>
          <w:rFonts w:ascii="Arial" w:hAnsi="Arial" w:cs="Arial"/>
        </w:rPr>
        <w:t xml:space="preserve"> </w:t>
      </w:r>
      <w:r w:rsidR="00724D0B" w:rsidRPr="00FD6865">
        <w:rPr>
          <w:rFonts w:ascii="Arial" w:hAnsi="Arial" w:cs="Arial"/>
        </w:rPr>
        <w:t>spectr</w:t>
      </w:r>
      <w:r w:rsidR="00724D0B">
        <w:rPr>
          <w:rFonts w:ascii="Arial" w:hAnsi="Arial" w:cs="Arial"/>
        </w:rPr>
        <w:t>a</w:t>
      </w:r>
      <w:r w:rsidR="00724D0B" w:rsidRPr="00FD6865">
        <w:rPr>
          <w:rFonts w:ascii="Arial" w:hAnsi="Arial" w:cs="Arial"/>
        </w:rPr>
        <w:t xml:space="preserve"> of P</w:t>
      </w:r>
      <w:r w:rsidR="00724D0B">
        <w:rPr>
          <w:rFonts w:ascii="Arial" w:hAnsi="Arial" w:cs="Arial"/>
        </w:rPr>
        <w:t>4</w:t>
      </w:r>
      <w:r w:rsidR="00724D0B" w:rsidRPr="00FD6865">
        <w:rPr>
          <w:rFonts w:ascii="Arial" w:hAnsi="Arial" w:cs="Arial"/>
        </w:rPr>
        <w:t xml:space="preserve"> in</w:t>
      </w:r>
      <w:r w:rsidR="00724D0B" w:rsidRPr="00577036">
        <w:rPr>
          <w:rFonts w:ascii="Arial" w:hAnsi="Arial" w:cs="Arial"/>
        </w:rPr>
        <w:t xml:space="preserve"> </w:t>
      </w:r>
      <w:r w:rsidR="00724D0B" w:rsidRPr="00D75E2B">
        <w:rPr>
          <w:rFonts w:ascii="Arial" w:hAnsi="Arial" w:cs="Arial"/>
        </w:rPr>
        <w:t xml:space="preserve">acetonitrile-water binary solution at different ratios </w:t>
      </w:r>
      <w:r w:rsidR="00724D0B" w:rsidRPr="00D75E2B">
        <w:rPr>
          <w:rFonts w:ascii="Arial" w:hAnsi="Arial" w:cs="Arial" w:hint="eastAsia"/>
        </w:rPr>
        <w:t>(</w:t>
      </w:r>
      <w:r w:rsidR="00724D0B" w:rsidRPr="00D75E2B">
        <w:rPr>
          <w:rFonts w:ascii="Arial" w:hAnsi="Arial" w:cs="Arial"/>
        </w:rPr>
        <w:t>1</w:t>
      </w:r>
      <w:r w:rsidR="00724D0B" w:rsidRPr="00D75E2B">
        <w:rPr>
          <w:rFonts w:ascii="Arial" w:hAnsi="Arial" w:cs="Arial" w:hint="eastAsia"/>
        </w:rPr>
        <w:t>×</w:t>
      </w:r>
      <w:r w:rsidR="00724D0B" w:rsidRPr="00D75E2B">
        <w:rPr>
          <w:rFonts w:ascii="Arial" w:hAnsi="Arial" w:cs="Arial" w:hint="eastAsia"/>
        </w:rPr>
        <w:t>10-</w:t>
      </w:r>
      <w:r w:rsidR="00724D0B" w:rsidRPr="00D75E2B">
        <w:rPr>
          <w:rFonts w:ascii="Arial" w:hAnsi="Arial" w:cs="Arial"/>
        </w:rPr>
        <w:t>5</w:t>
      </w:r>
      <w:r w:rsidR="00724D0B" w:rsidRPr="00D75E2B">
        <w:rPr>
          <w:rFonts w:ascii="Arial" w:hAnsi="Arial" w:cs="Arial" w:hint="eastAsia"/>
        </w:rPr>
        <w:t xml:space="preserve"> M at 25</w:t>
      </w:r>
      <w:r w:rsidR="008D2EFA" w:rsidRPr="008D2EFA">
        <w:sym w:font="Symbol" w:char="F0B0"/>
      </w:r>
      <w:r w:rsidR="008D2EFA">
        <w:rPr>
          <w:rFonts w:ascii="Arial" w:hAnsi="Arial" w:cs="Arial"/>
        </w:rPr>
        <w:t>C</w:t>
      </w:r>
      <w:r w:rsidR="00724D0B" w:rsidRPr="00D75E2B">
        <w:rPr>
          <w:rFonts w:ascii="Arial" w:hAnsi="Arial" w:cs="Arial" w:hint="eastAsia"/>
        </w:rPr>
        <w:t xml:space="preserve"> upon illumination at 6</w:t>
      </w:r>
      <w:r w:rsidR="00724D0B" w:rsidRPr="00D75E2B">
        <w:rPr>
          <w:rFonts w:ascii="Arial" w:hAnsi="Arial" w:cs="Arial"/>
        </w:rPr>
        <w:t>0</w:t>
      </w:r>
      <w:r w:rsidR="00724D0B" w:rsidRPr="00D75E2B">
        <w:rPr>
          <w:rFonts w:ascii="Arial" w:hAnsi="Arial" w:cs="Arial" w:hint="eastAsia"/>
        </w:rPr>
        <w:t>0 nm)</w:t>
      </w:r>
      <w:r w:rsidR="00724D0B" w:rsidRPr="00D75E2B">
        <w:rPr>
          <w:rFonts w:ascii="Arial" w:hAnsi="Arial" w:cs="Arial"/>
        </w:rPr>
        <w:t>. The inset shows the peak value of fluorescence intensity changes upon dilution by water.</w:t>
      </w:r>
    </w:p>
    <w:p w:rsidR="00724D0B" w:rsidRDefault="00522EBD" w:rsidP="00724D0B">
      <w:pPr>
        <w:spacing w:line="480" w:lineRule="auto"/>
        <w:jc w:val="center"/>
      </w:pPr>
      <w:r>
        <w:rPr>
          <w:noProof/>
          <w:lang w:val="en-US" w:eastAsia="zh-CN"/>
        </w:rPr>
        <w:drawing>
          <wp:inline distT="0" distB="0" distL="0" distR="0">
            <wp:extent cx="4319270" cy="2495550"/>
            <wp:effectExtent l="0" t="0" r="508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Figure S4.tif"/>
                    <pic:cNvPicPr/>
                  </pic:nvPicPr>
                  <pic:blipFill rotWithShape="1">
                    <a:blip r:embed="rId9" cstate="print">
                      <a:extLst>
                        <a:ext uri="{28A0092B-C50C-407E-A947-70E740481C1C}">
                          <a14:useLocalDpi xmlns:a14="http://schemas.microsoft.com/office/drawing/2010/main" val="0"/>
                        </a:ext>
                      </a:extLst>
                    </a:blip>
                    <a:srcRect t="8780" b="9069"/>
                    <a:stretch/>
                  </pic:blipFill>
                  <pic:spPr bwMode="auto">
                    <a:xfrm>
                      <a:off x="0" y="0"/>
                      <a:ext cx="4319778" cy="2495844"/>
                    </a:xfrm>
                    <a:prstGeom prst="rect">
                      <a:avLst/>
                    </a:prstGeom>
                    <a:ln>
                      <a:noFill/>
                    </a:ln>
                    <a:extLst>
                      <a:ext uri="{53640926-AAD7-44D8-BBD7-CCE9431645EC}">
                        <a14:shadowObscured xmlns:a14="http://schemas.microsoft.com/office/drawing/2010/main"/>
                      </a:ext>
                    </a:extLst>
                  </pic:spPr>
                </pic:pic>
              </a:graphicData>
            </a:graphic>
          </wp:inline>
        </w:drawing>
      </w:r>
    </w:p>
    <w:p w:rsidR="00724D0B" w:rsidRDefault="00724D0B" w:rsidP="00522EBD">
      <w:pPr>
        <w:jc w:val="both"/>
        <w:rPr>
          <w:rFonts w:ascii="Arial" w:hAnsi="Arial" w:cs="Arial"/>
        </w:rPr>
      </w:pPr>
      <w:r w:rsidRPr="008B767A">
        <w:rPr>
          <w:rFonts w:ascii="Arial" w:hAnsi="Arial" w:cs="Arial"/>
          <w:b/>
        </w:rPr>
        <w:t>Figure S4</w:t>
      </w:r>
      <w:r w:rsidRPr="000C3F3F">
        <w:rPr>
          <w:rFonts w:ascii="Arial" w:hAnsi="Arial" w:cs="Arial"/>
        </w:rPr>
        <w:t xml:space="preserve"> Fluorescence quenching after dispersing P1,P2,P3 or P4 acetonitrile solution into different aqueous media</w:t>
      </w:r>
      <w:r>
        <w:rPr>
          <w:rFonts w:ascii="Arial" w:hAnsi="Arial" w:cs="Arial"/>
        </w:rPr>
        <w:t>.</w:t>
      </w:r>
      <w:r w:rsidRPr="000C3F3F">
        <w:rPr>
          <w:rFonts w:ascii="Arial" w:hAnsi="Arial" w:cs="Arial"/>
        </w:rPr>
        <w:t xml:space="preserve"> </w:t>
      </w:r>
    </w:p>
    <w:p w:rsidR="00724D0B" w:rsidRPr="000C3F3F" w:rsidRDefault="00522EBD" w:rsidP="00724D0B">
      <w:pPr>
        <w:jc w:val="center"/>
        <w:rPr>
          <w:rFonts w:ascii="Arial" w:hAnsi="Arial" w:cs="Arial"/>
        </w:rPr>
      </w:pPr>
      <w:r>
        <w:rPr>
          <w:rFonts w:ascii="Arial" w:hAnsi="Arial" w:cs="Arial"/>
          <w:noProof/>
          <w:lang w:val="en-US" w:eastAsia="zh-CN"/>
        </w:rPr>
        <w:lastRenderedPageBreak/>
        <w:drawing>
          <wp:inline distT="0" distB="0" distL="0" distR="0">
            <wp:extent cx="5760720" cy="194310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Figure S5.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1943100"/>
                    </a:xfrm>
                    <a:prstGeom prst="rect">
                      <a:avLst/>
                    </a:prstGeom>
                  </pic:spPr>
                </pic:pic>
              </a:graphicData>
            </a:graphic>
          </wp:inline>
        </w:drawing>
      </w:r>
    </w:p>
    <w:p w:rsidR="00724D0B" w:rsidRDefault="00724D0B" w:rsidP="00522EBD">
      <w:pPr>
        <w:jc w:val="both"/>
        <w:rPr>
          <w:rFonts w:ascii="Arial" w:hAnsi="Arial" w:cs="Arial"/>
        </w:rPr>
      </w:pPr>
      <w:r w:rsidRPr="008B767A">
        <w:rPr>
          <w:rFonts w:ascii="Arial" w:hAnsi="Arial" w:cs="Arial"/>
          <w:b/>
        </w:rPr>
        <w:t>Figure S5</w:t>
      </w:r>
      <w:r w:rsidRPr="00334605">
        <w:rPr>
          <w:rFonts w:ascii="Arial" w:hAnsi="Arial" w:cs="Arial"/>
        </w:rPr>
        <w:t xml:space="preserve"> Fluorescence rekindling after dispersing quenched (a) P1 (b) P3 (c) P4 solution into different media</w:t>
      </w:r>
      <w:r>
        <w:rPr>
          <w:rFonts w:ascii="Arial" w:hAnsi="Arial" w:cs="Arial"/>
        </w:rPr>
        <w:t xml:space="preserve"> </w:t>
      </w:r>
      <w:r w:rsidRPr="00DD2921">
        <w:rPr>
          <w:rFonts w:ascii="Arial" w:hAnsi="Arial" w:cs="Arial" w:hint="eastAsia"/>
        </w:rPr>
        <w:t>(final concentration</w:t>
      </w:r>
      <w:r>
        <w:rPr>
          <w:rFonts w:ascii="Arial" w:hAnsi="Arial" w:cs="Arial"/>
        </w:rPr>
        <w:t>s</w:t>
      </w:r>
      <w:r w:rsidRPr="00DD2921">
        <w:rPr>
          <w:rFonts w:ascii="Arial" w:hAnsi="Arial" w:cs="Arial" w:hint="eastAsia"/>
        </w:rPr>
        <w:t xml:space="preserve"> of P</w:t>
      </w:r>
      <w:r>
        <w:rPr>
          <w:rFonts w:ascii="Arial" w:hAnsi="Arial" w:cs="Arial"/>
        </w:rPr>
        <w:t>1, P3, P4</w:t>
      </w:r>
      <w:r w:rsidRPr="00DD2921">
        <w:rPr>
          <w:rFonts w:ascii="Arial" w:hAnsi="Arial" w:cs="Arial" w:hint="eastAsia"/>
        </w:rPr>
        <w:t xml:space="preserve"> </w:t>
      </w:r>
      <w:r>
        <w:rPr>
          <w:rFonts w:ascii="Arial" w:hAnsi="Arial" w:cs="Arial"/>
        </w:rPr>
        <w:t>are</w:t>
      </w:r>
      <w:r w:rsidRPr="00DD2921">
        <w:rPr>
          <w:rFonts w:ascii="Arial" w:hAnsi="Arial" w:cs="Arial" w:hint="eastAsia"/>
        </w:rPr>
        <w:t xml:space="preserve"> </w:t>
      </w:r>
      <w:r>
        <w:rPr>
          <w:rFonts w:ascii="Arial" w:hAnsi="Arial" w:cs="Arial"/>
        </w:rPr>
        <w:t xml:space="preserve">all </w:t>
      </w:r>
      <w:r w:rsidRPr="00DD2921">
        <w:rPr>
          <w:rFonts w:ascii="Arial" w:hAnsi="Arial" w:cs="Arial" w:hint="eastAsia"/>
        </w:rPr>
        <w:t>6.85</w:t>
      </w:r>
      <w:r w:rsidRPr="00DD2921">
        <w:rPr>
          <w:rFonts w:ascii="Arial" w:hAnsi="Arial" w:cs="Arial" w:hint="eastAsia"/>
        </w:rPr>
        <w:t>×</w:t>
      </w:r>
      <w:r>
        <w:rPr>
          <w:rFonts w:ascii="Arial" w:hAnsi="Arial" w:cs="Arial" w:hint="eastAsia"/>
        </w:rPr>
        <w:t>10</w:t>
      </w:r>
      <w:r w:rsidRPr="00DD2921">
        <w:rPr>
          <w:rFonts w:ascii="Arial" w:hAnsi="Arial" w:cs="Arial" w:hint="eastAsia"/>
          <w:vertAlign w:val="superscript"/>
        </w:rPr>
        <w:t>-7</w:t>
      </w:r>
      <w:r>
        <w:rPr>
          <w:rFonts w:ascii="Arial" w:hAnsi="Arial" w:cs="Arial" w:hint="eastAsia"/>
        </w:rPr>
        <w:t xml:space="preserve"> M</w:t>
      </w:r>
      <w:r w:rsidRPr="00DD2921">
        <w:rPr>
          <w:rFonts w:ascii="Arial" w:hAnsi="Arial" w:cs="Arial" w:hint="eastAsia"/>
        </w:rPr>
        <w:t xml:space="preserve"> </w:t>
      </w:r>
      <w:r>
        <w:rPr>
          <w:rFonts w:ascii="Arial" w:hAnsi="Arial" w:cs="Arial"/>
        </w:rPr>
        <w:t xml:space="preserve">at </w:t>
      </w:r>
      <w:r w:rsidRPr="00DD2921">
        <w:rPr>
          <w:rFonts w:ascii="Arial" w:hAnsi="Arial" w:cs="Arial" w:hint="eastAsia"/>
        </w:rPr>
        <w:t>25</w:t>
      </w:r>
      <w:r w:rsidR="008D2EFA" w:rsidRPr="008D2EFA">
        <w:sym w:font="Symbol" w:char="F0B0"/>
      </w:r>
      <w:r w:rsidR="008D2EFA">
        <w:rPr>
          <w:rFonts w:ascii="Arial" w:hAnsi="Arial" w:cs="Arial"/>
        </w:rPr>
        <w:t>C</w:t>
      </w:r>
      <w:r w:rsidRPr="00DD2921">
        <w:rPr>
          <w:rFonts w:ascii="Arial" w:hAnsi="Arial" w:cs="Arial" w:hint="eastAsia"/>
        </w:rPr>
        <w:t>)</w:t>
      </w:r>
      <w:r w:rsidRPr="00334605">
        <w:rPr>
          <w:rFonts w:ascii="Arial" w:hAnsi="Arial" w:cs="Arial"/>
        </w:rPr>
        <w:t>.</w:t>
      </w:r>
    </w:p>
    <w:p w:rsidR="00724D0B" w:rsidRPr="009F7ED1" w:rsidRDefault="00724D0B" w:rsidP="00724D0B">
      <w:pPr>
        <w:spacing w:line="480" w:lineRule="auto"/>
        <w:rPr>
          <w:rFonts w:hint="eastAsia"/>
        </w:rPr>
      </w:pPr>
    </w:p>
    <w:p w:rsidR="00724D0B" w:rsidRPr="00651823" w:rsidRDefault="00724D0B" w:rsidP="00724D0B">
      <w:pPr>
        <w:spacing w:line="480" w:lineRule="auto"/>
        <w:jc w:val="center"/>
      </w:pPr>
      <w:r w:rsidRPr="00D75E2B">
        <w:rPr>
          <w:noProof/>
          <w:lang w:val="en-US" w:eastAsia="zh-CN"/>
        </w:rPr>
        <w:drawing>
          <wp:inline distT="0" distB="0" distL="0" distR="0">
            <wp:extent cx="1943100" cy="194310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43100" cy="1943100"/>
                    </a:xfrm>
                    <a:prstGeom prst="rect">
                      <a:avLst/>
                    </a:prstGeom>
                    <a:noFill/>
                    <a:ln>
                      <a:noFill/>
                    </a:ln>
                  </pic:spPr>
                </pic:pic>
              </a:graphicData>
            </a:graphic>
          </wp:inline>
        </w:drawing>
      </w:r>
    </w:p>
    <w:p w:rsidR="00724D0B" w:rsidRPr="008B767A" w:rsidRDefault="00724D0B" w:rsidP="00724D0B">
      <w:pPr>
        <w:spacing w:line="480" w:lineRule="auto"/>
        <w:jc w:val="center"/>
        <w:rPr>
          <w:rFonts w:ascii="Arial" w:hAnsi="Arial" w:cs="Arial"/>
        </w:rPr>
      </w:pPr>
      <w:r w:rsidRPr="008B767A">
        <w:rPr>
          <w:rFonts w:ascii="Arial" w:hAnsi="Arial" w:cs="Arial"/>
          <w:b/>
        </w:rPr>
        <w:t>Figure S6</w:t>
      </w:r>
      <w:r w:rsidRPr="008B767A">
        <w:rPr>
          <w:rFonts w:ascii="Arial" w:hAnsi="Arial" w:cs="Arial"/>
        </w:rPr>
        <w:t xml:space="preserve"> TEM picture of P2-SLNs.</w:t>
      </w:r>
    </w:p>
    <w:p w:rsidR="00724D0B" w:rsidRPr="00651823" w:rsidRDefault="00724D0B" w:rsidP="00724D0B">
      <w:pPr>
        <w:spacing w:line="480" w:lineRule="auto"/>
        <w:jc w:val="center"/>
      </w:pPr>
      <w:r w:rsidRPr="00D75E2B">
        <w:rPr>
          <w:noProof/>
          <w:lang w:val="en-US" w:eastAsia="zh-CN"/>
        </w:rPr>
        <w:drawing>
          <wp:inline distT="0" distB="0" distL="0" distR="0">
            <wp:extent cx="3057525" cy="1438275"/>
            <wp:effectExtent l="0" t="0" r="9525"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57525" cy="1438275"/>
                    </a:xfrm>
                    <a:prstGeom prst="rect">
                      <a:avLst/>
                    </a:prstGeom>
                    <a:noFill/>
                    <a:ln>
                      <a:noFill/>
                    </a:ln>
                  </pic:spPr>
                </pic:pic>
              </a:graphicData>
            </a:graphic>
          </wp:inline>
        </w:drawing>
      </w:r>
    </w:p>
    <w:p w:rsidR="00724D0B" w:rsidRDefault="00724D0B" w:rsidP="00724D0B">
      <w:pPr>
        <w:spacing w:line="480" w:lineRule="auto"/>
        <w:jc w:val="center"/>
        <w:rPr>
          <w:rFonts w:ascii="Arial" w:hAnsi="Arial" w:cs="Arial"/>
        </w:rPr>
      </w:pPr>
      <w:r w:rsidRPr="008B767A">
        <w:rPr>
          <w:rFonts w:ascii="Arial" w:hAnsi="Arial" w:cs="Arial"/>
          <w:b/>
        </w:rPr>
        <w:t>Figure S7</w:t>
      </w:r>
      <w:r w:rsidRPr="008B767A">
        <w:rPr>
          <w:rFonts w:ascii="Arial" w:hAnsi="Arial" w:cs="Arial"/>
        </w:rPr>
        <w:t xml:space="preserve"> Particle size distribution of P2-SLNs by intensity.</w:t>
      </w:r>
    </w:p>
    <w:p w:rsidR="00724D0B" w:rsidRPr="008B767A" w:rsidRDefault="00724D0B" w:rsidP="00724D0B">
      <w:pPr>
        <w:spacing w:line="480" w:lineRule="auto"/>
        <w:jc w:val="center"/>
        <w:rPr>
          <w:rFonts w:ascii="Arial" w:hAnsi="Arial" w:cs="Arial"/>
        </w:rPr>
      </w:pPr>
    </w:p>
    <w:p w:rsidR="00724D0B" w:rsidRDefault="00522EBD" w:rsidP="00522EBD">
      <w:pPr>
        <w:spacing w:line="480" w:lineRule="auto"/>
        <w:jc w:val="center"/>
      </w:pPr>
      <w:r>
        <w:rPr>
          <w:noProof/>
          <w:lang w:val="en-US" w:eastAsia="zh-CN"/>
        </w:rPr>
        <w:lastRenderedPageBreak/>
        <w:drawing>
          <wp:inline distT="0" distB="0" distL="0" distR="0">
            <wp:extent cx="5399558" cy="2085975"/>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Figure S8.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02235" cy="2087009"/>
                    </a:xfrm>
                    <a:prstGeom prst="rect">
                      <a:avLst/>
                    </a:prstGeom>
                  </pic:spPr>
                </pic:pic>
              </a:graphicData>
            </a:graphic>
          </wp:inline>
        </w:drawing>
      </w:r>
    </w:p>
    <w:p w:rsidR="00724D0B" w:rsidRDefault="00724D0B" w:rsidP="00522EBD">
      <w:pPr>
        <w:jc w:val="both"/>
        <w:rPr>
          <w:rFonts w:ascii="Arial" w:hAnsi="Arial" w:cs="Arial"/>
        </w:rPr>
      </w:pPr>
      <w:r w:rsidRPr="00DD2921">
        <w:rPr>
          <w:rFonts w:ascii="Arial" w:hAnsi="Arial" w:cs="Arial"/>
          <w:b/>
        </w:rPr>
        <w:t>Figure S8</w:t>
      </w:r>
      <w:r w:rsidRPr="00DD2921">
        <w:rPr>
          <w:rFonts w:ascii="Arial" w:hAnsi="Arial" w:cs="Arial"/>
        </w:rPr>
        <w:t xml:space="preserve"> PL intensity changes of P2-SLNs incubated in (a) buffer solutions of different pH and (b) different surfactant solutions.</w:t>
      </w:r>
    </w:p>
    <w:p w:rsidR="00724D0B" w:rsidRPr="00DD2921" w:rsidRDefault="00724D0B" w:rsidP="00724D0B">
      <w:pPr>
        <w:rPr>
          <w:rFonts w:ascii="Arial" w:hAnsi="Arial" w:cs="Arial"/>
        </w:rPr>
      </w:pPr>
    </w:p>
    <w:p w:rsidR="00724D0B" w:rsidRPr="00651823" w:rsidRDefault="00522EBD" w:rsidP="00724D0B">
      <w:pPr>
        <w:spacing w:line="480" w:lineRule="auto"/>
        <w:jc w:val="center"/>
      </w:pPr>
      <w:r>
        <w:rPr>
          <w:noProof/>
          <w:lang w:val="en-US" w:eastAsia="zh-CN"/>
        </w:rPr>
        <w:drawing>
          <wp:inline distT="0" distB="0" distL="0" distR="0">
            <wp:extent cx="4290060" cy="3063240"/>
            <wp:effectExtent l="0" t="0" r="0" b="381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Figure S9.ti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290060" cy="3063240"/>
                    </a:xfrm>
                    <a:prstGeom prst="rect">
                      <a:avLst/>
                    </a:prstGeom>
                  </pic:spPr>
                </pic:pic>
              </a:graphicData>
            </a:graphic>
          </wp:inline>
        </w:drawing>
      </w:r>
    </w:p>
    <w:p w:rsidR="00724D0B" w:rsidRPr="00DD2921" w:rsidRDefault="00724D0B" w:rsidP="00724D0B">
      <w:pPr>
        <w:spacing w:line="480" w:lineRule="auto"/>
        <w:jc w:val="center"/>
        <w:rPr>
          <w:rFonts w:ascii="Arial" w:hAnsi="Arial" w:cs="Arial"/>
        </w:rPr>
      </w:pPr>
      <w:r w:rsidRPr="00DD2921">
        <w:rPr>
          <w:rFonts w:ascii="Arial" w:hAnsi="Arial" w:cs="Arial"/>
          <w:b/>
        </w:rPr>
        <w:t>Figure S9</w:t>
      </w:r>
      <w:r w:rsidRPr="00DD2921">
        <w:rPr>
          <w:rFonts w:ascii="Arial" w:hAnsi="Arial" w:cs="Arial"/>
        </w:rPr>
        <w:t xml:space="preserve"> The real time consumption NaOH during in vitro lipolysis of P2-SLNs.</w:t>
      </w:r>
    </w:p>
    <w:p w:rsidR="00724D0B" w:rsidRDefault="00724D0B" w:rsidP="00724D0B">
      <w:pPr>
        <w:spacing w:line="480" w:lineRule="auto"/>
        <w:jc w:val="center"/>
      </w:pPr>
      <w:r w:rsidRPr="00D75E2B">
        <w:rPr>
          <w:noProof/>
          <w:lang w:val="en-US" w:eastAsia="zh-CN"/>
        </w:rPr>
        <w:drawing>
          <wp:inline distT="0" distB="0" distL="0" distR="0">
            <wp:extent cx="1790700" cy="165735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90700" cy="1657350"/>
                    </a:xfrm>
                    <a:prstGeom prst="rect">
                      <a:avLst/>
                    </a:prstGeom>
                    <a:noFill/>
                    <a:ln>
                      <a:noFill/>
                    </a:ln>
                  </pic:spPr>
                </pic:pic>
              </a:graphicData>
            </a:graphic>
          </wp:inline>
        </w:drawing>
      </w:r>
    </w:p>
    <w:p w:rsidR="00724D0B" w:rsidRDefault="00724D0B" w:rsidP="00724D0B">
      <w:pPr>
        <w:spacing w:line="480" w:lineRule="auto"/>
        <w:jc w:val="center"/>
        <w:rPr>
          <w:rFonts w:ascii="Arial" w:hAnsi="Arial" w:cs="Arial"/>
        </w:rPr>
      </w:pPr>
      <w:r w:rsidRPr="00DD2921">
        <w:rPr>
          <w:rFonts w:ascii="Arial" w:hAnsi="Arial" w:cs="Arial"/>
          <w:b/>
        </w:rPr>
        <w:t>Figure S10</w:t>
      </w:r>
      <w:r w:rsidRPr="00DD2921">
        <w:rPr>
          <w:rFonts w:ascii="Arial" w:hAnsi="Arial" w:cs="Arial"/>
        </w:rPr>
        <w:t xml:space="preserve"> Chemical structure of DiR iodide.</w:t>
      </w:r>
    </w:p>
    <w:p w:rsidR="00724D0B" w:rsidRPr="00D75E2B" w:rsidRDefault="00724D0B" w:rsidP="00724D0B">
      <w:pPr>
        <w:spacing w:line="480" w:lineRule="auto"/>
        <w:jc w:val="center"/>
        <w:rPr>
          <w:rFonts w:ascii="Arial" w:hAnsi="Arial" w:cs="Arial"/>
          <w:color w:val="000000"/>
        </w:rPr>
      </w:pPr>
      <w:r w:rsidRPr="00D75E2B">
        <w:rPr>
          <w:noProof/>
          <w:lang w:val="en-US" w:eastAsia="zh-CN"/>
        </w:rPr>
        <w:lastRenderedPageBreak/>
        <w:drawing>
          <wp:inline distT="0" distB="0" distL="0" distR="0">
            <wp:extent cx="5257800" cy="280035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57800" cy="2800350"/>
                    </a:xfrm>
                    <a:prstGeom prst="rect">
                      <a:avLst/>
                    </a:prstGeom>
                    <a:noFill/>
                    <a:ln>
                      <a:noFill/>
                    </a:ln>
                  </pic:spPr>
                </pic:pic>
              </a:graphicData>
            </a:graphic>
          </wp:inline>
        </w:drawing>
      </w:r>
    </w:p>
    <w:p w:rsidR="00724D0B" w:rsidRPr="00D75E2B" w:rsidRDefault="00724D0B" w:rsidP="0045696A">
      <w:pPr>
        <w:jc w:val="center"/>
        <w:rPr>
          <w:rFonts w:ascii="Arial" w:hAnsi="Arial" w:cs="Arial"/>
          <w:color w:val="000000"/>
          <w:sz w:val="22"/>
        </w:rPr>
      </w:pPr>
      <w:r w:rsidRPr="00D75E2B">
        <w:rPr>
          <w:rFonts w:ascii="Arial" w:hAnsi="Arial" w:cs="Arial"/>
          <w:b/>
          <w:color w:val="000000"/>
        </w:rPr>
        <w:t>Figure S11.</w:t>
      </w:r>
      <w:r w:rsidRPr="00D75E2B">
        <w:rPr>
          <w:rFonts w:ascii="Arial" w:hAnsi="Arial" w:cs="Arial"/>
          <w:color w:val="000000"/>
        </w:rPr>
        <w:t xml:space="preserve"> The </w:t>
      </w:r>
      <w:r w:rsidRPr="00FD6865">
        <w:rPr>
          <w:rFonts w:ascii="Arial" w:hAnsi="Arial" w:cs="Arial"/>
        </w:rPr>
        <w:t>point-to-point</w:t>
      </w:r>
      <w:r>
        <w:rPr>
          <w:rFonts w:ascii="Arial" w:hAnsi="Arial" w:cs="Arial"/>
        </w:rPr>
        <w:t xml:space="preserve"> linear correlation between ARE of </w:t>
      </w:r>
      <w:r w:rsidRPr="00CF5EA8">
        <w:rPr>
          <w:rFonts w:ascii="Arial" w:hAnsi="Arial" w:cs="Arial"/>
          <w:i/>
        </w:rPr>
        <w:t>in vitro</w:t>
      </w:r>
      <w:r>
        <w:rPr>
          <w:rFonts w:ascii="Arial" w:hAnsi="Arial" w:cs="Arial"/>
        </w:rPr>
        <w:t xml:space="preserve"> lipolysis in different media and that of </w:t>
      </w:r>
      <w:r w:rsidRPr="00CF5EA8">
        <w:rPr>
          <w:rFonts w:ascii="Arial" w:hAnsi="Arial" w:cs="Arial"/>
          <w:i/>
        </w:rPr>
        <w:t>in vivo</w:t>
      </w:r>
      <w:r>
        <w:rPr>
          <w:rFonts w:ascii="Arial" w:hAnsi="Arial" w:cs="Arial"/>
        </w:rPr>
        <w:t xml:space="preserve"> imaging.</w:t>
      </w:r>
    </w:p>
    <w:p w:rsidR="00724D0B" w:rsidRPr="00515296" w:rsidRDefault="00724D0B" w:rsidP="00724D0B">
      <w:pPr>
        <w:spacing w:line="480" w:lineRule="auto"/>
        <w:jc w:val="center"/>
        <w:rPr>
          <w:rFonts w:ascii="Arial" w:hAnsi="Arial" w:cs="Arial"/>
        </w:rPr>
      </w:pPr>
      <w:bookmarkStart w:id="4" w:name="_GoBack"/>
      <w:bookmarkEnd w:id="4"/>
    </w:p>
    <w:p w:rsidR="00724D0B" w:rsidRDefault="00724D0B" w:rsidP="00724D0B">
      <w:pPr>
        <w:spacing w:line="480" w:lineRule="auto"/>
        <w:jc w:val="center"/>
      </w:pPr>
      <w:r w:rsidRPr="00D75E2B">
        <w:rPr>
          <w:noProof/>
          <w:lang w:val="en-US" w:eastAsia="zh-CN"/>
        </w:rPr>
        <w:drawing>
          <wp:inline distT="0" distB="0" distL="0" distR="0">
            <wp:extent cx="3028950" cy="2162175"/>
            <wp:effectExtent l="0" t="0" r="0"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28950" cy="2162175"/>
                    </a:xfrm>
                    <a:prstGeom prst="rect">
                      <a:avLst/>
                    </a:prstGeom>
                    <a:noFill/>
                    <a:ln>
                      <a:noFill/>
                    </a:ln>
                  </pic:spPr>
                </pic:pic>
              </a:graphicData>
            </a:graphic>
          </wp:inline>
        </w:drawing>
      </w:r>
    </w:p>
    <w:p w:rsidR="00191785" w:rsidRPr="00724D0B" w:rsidRDefault="00724D0B" w:rsidP="00F64CC5">
      <w:pPr>
        <w:spacing w:line="480" w:lineRule="auto"/>
        <w:jc w:val="center"/>
      </w:pPr>
      <w:r w:rsidRPr="00DD2921">
        <w:rPr>
          <w:rFonts w:ascii="Arial" w:hAnsi="Arial" w:cs="Arial"/>
          <w:b/>
        </w:rPr>
        <w:t>Figure S1</w:t>
      </w:r>
      <w:r>
        <w:rPr>
          <w:rFonts w:ascii="Arial" w:hAnsi="Arial" w:cs="Arial"/>
          <w:b/>
        </w:rPr>
        <w:t>2.</w:t>
      </w:r>
      <w:r w:rsidRPr="00DD2921">
        <w:rPr>
          <w:rFonts w:ascii="Arial" w:hAnsi="Arial" w:cs="Arial"/>
        </w:rPr>
        <w:t xml:space="preserve"> </w:t>
      </w:r>
      <w:r w:rsidRPr="00D75E2B">
        <w:rPr>
          <w:rFonts w:ascii="Arial" w:hAnsi="Arial" w:cs="Arial"/>
          <w:color w:val="000000"/>
        </w:rPr>
        <w:t xml:space="preserve">The ARE of nude mice gavaged with DiR-SLNs </w:t>
      </w:r>
      <w:r w:rsidRPr="00D75E2B">
        <w:rPr>
          <w:rFonts w:ascii="Arial" w:hAnsi="Arial" w:cs="Arial"/>
          <w:i/>
          <w:color w:val="000000"/>
        </w:rPr>
        <w:t>versus</w:t>
      </w:r>
      <w:r w:rsidRPr="00D75E2B">
        <w:rPr>
          <w:rFonts w:ascii="Arial" w:hAnsi="Arial" w:cs="Arial"/>
          <w:color w:val="000000"/>
        </w:rPr>
        <w:t xml:space="preserve"> time.</w:t>
      </w:r>
    </w:p>
    <w:sectPr w:rsidR="00191785" w:rsidRPr="00724D0B">
      <w:headerReference w:type="default" r:id="rId18"/>
      <w:footerReference w:type="default" r:id="rId1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458F5" w:rsidRDefault="00C458F5" w:rsidP="00F462C6">
      <w:r>
        <w:separator/>
      </w:r>
    </w:p>
  </w:endnote>
  <w:endnote w:type="continuationSeparator" w:id="0">
    <w:p w:rsidR="00C458F5" w:rsidRDefault="00C458F5" w:rsidP="00F462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50FD" w:rsidRDefault="0061478E">
    <w:pPr>
      <w:pStyle w:val="a4"/>
      <w:jc w:val="center"/>
    </w:pPr>
    <w:r>
      <w:fldChar w:fldCharType="begin"/>
    </w:r>
    <w:r>
      <w:instrText>PAGE   \* MERGEFORMAT</w:instrText>
    </w:r>
    <w:r>
      <w:fldChar w:fldCharType="separate"/>
    </w:r>
    <w:r w:rsidR="0045696A">
      <w:rPr>
        <w:noProof/>
      </w:rPr>
      <w:t>9</w:t>
    </w:r>
    <w:r>
      <w:fldChar w:fldCharType="end"/>
    </w:r>
  </w:p>
  <w:p w:rsidR="008850FD" w:rsidRDefault="00C458F5" w:rsidP="00881456">
    <w:pPr>
      <w:pStyle w:val="a4"/>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458F5" w:rsidRDefault="00C458F5" w:rsidP="00F462C6">
      <w:r>
        <w:separator/>
      </w:r>
    </w:p>
  </w:footnote>
  <w:footnote w:type="continuationSeparator" w:id="0">
    <w:p w:rsidR="00C458F5" w:rsidRDefault="00C458F5" w:rsidP="00F462C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50FD" w:rsidRPr="009B44CC" w:rsidRDefault="0061478E" w:rsidP="009B44CC">
    <w:pPr>
      <w:pStyle w:val="a3"/>
      <w:tabs>
        <w:tab w:val="left" w:pos="5003"/>
      </w:tabs>
      <w:jc w:val="right"/>
      <w:rPr>
        <w:lang w:val="en-US"/>
      </w:rPr>
    </w:pPr>
    <w:r>
      <w:tab/>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24D0B"/>
    <w:rsid w:val="000F42BB"/>
    <w:rsid w:val="00180DD4"/>
    <w:rsid w:val="00191785"/>
    <w:rsid w:val="00292E79"/>
    <w:rsid w:val="002B56C6"/>
    <w:rsid w:val="0045696A"/>
    <w:rsid w:val="00522EBD"/>
    <w:rsid w:val="00597BD3"/>
    <w:rsid w:val="0061478E"/>
    <w:rsid w:val="00686F7C"/>
    <w:rsid w:val="00724D0B"/>
    <w:rsid w:val="007A4E8A"/>
    <w:rsid w:val="008D2EFA"/>
    <w:rsid w:val="00935E1B"/>
    <w:rsid w:val="00964170"/>
    <w:rsid w:val="009C0621"/>
    <w:rsid w:val="00B11BB0"/>
    <w:rsid w:val="00C458F5"/>
    <w:rsid w:val="00D1678D"/>
    <w:rsid w:val="00DD13D2"/>
    <w:rsid w:val="00E40542"/>
    <w:rsid w:val="00F462C6"/>
    <w:rsid w:val="00F556C9"/>
    <w:rsid w:val="00F64CC5"/>
    <w:rsid w:val="00F6707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84AA159A-CC72-415D-8E1A-7F2C2B3544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24D0B"/>
    <w:rPr>
      <w:rFonts w:ascii="Times New Roman" w:eastAsia="MS Mincho" w:hAnsi="Times New Roman" w:cs="Times New Roman"/>
      <w:kern w:val="0"/>
      <w:sz w:val="24"/>
      <w:szCs w:val="24"/>
      <w:lang w:val="de-DE" w:eastAsia="ja-JP"/>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rsid w:val="00724D0B"/>
    <w:pPr>
      <w:tabs>
        <w:tab w:val="center" w:pos="4536"/>
        <w:tab w:val="right" w:pos="9072"/>
      </w:tabs>
    </w:pPr>
    <w:rPr>
      <w:lang w:val="x-none"/>
    </w:rPr>
  </w:style>
  <w:style w:type="character" w:customStyle="1" w:styleId="Char">
    <w:name w:val="页眉 Char"/>
    <w:basedOn w:val="a0"/>
    <w:link w:val="a3"/>
    <w:rsid w:val="00724D0B"/>
    <w:rPr>
      <w:rFonts w:ascii="Times New Roman" w:eastAsia="MS Mincho" w:hAnsi="Times New Roman" w:cs="Times New Roman"/>
      <w:kern w:val="0"/>
      <w:sz w:val="24"/>
      <w:szCs w:val="24"/>
      <w:lang w:val="x-none" w:eastAsia="ja-JP"/>
    </w:rPr>
  </w:style>
  <w:style w:type="paragraph" w:styleId="a4">
    <w:name w:val="footer"/>
    <w:basedOn w:val="a"/>
    <w:link w:val="Char0"/>
    <w:uiPriority w:val="99"/>
    <w:rsid w:val="00724D0B"/>
    <w:pPr>
      <w:tabs>
        <w:tab w:val="center" w:pos="4536"/>
        <w:tab w:val="right" w:pos="9072"/>
      </w:tabs>
    </w:pPr>
  </w:style>
  <w:style w:type="character" w:customStyle="1" w:styleId="Char0">
    <w:name w:val="页脚 Char"/>
    <w:basedOn w:val="a0"/>
    <w:link w:val="a4"/>
    <w:uiPriority w:val="99"/>
    <w:rsid w:val="00724D0B"/>
    <w:rPr>
      <w:rFonts w:ascii="Times New Roman" w:eastAsia="MS Mincho" w:hAnsi="Times New Roman" w:cs="Times New Roman"/>
      <w:kern w:val="0"/>
      <w:sz w:val="24"/>
      <w:szCs w:val="24"/>
      <w:lang w:val="de-DE" w:eastAsia="ja-JP"/>
    </w:rPr>
  </w:style>
  <w:style w:type="paragraph" w:customStyle="1" w:styleId="AuthorsFull">
    <w:name w:val="Authors Full"/>
    <w:basedOn w:val="a"/>
    <w:rsid w:val="00724D0B"/>
    <w:rPr>
      <w:i/>
      <w:lang w:val="en-US"/>
    </w:rPr>
  </w:style>
  <w:style w:type="paragraph" w:customStyle="1" w:styleId="Tableofcontents">
    <w:name w:val="Table of contents"/>
    <w:basedOn w:val="a"/>
    <w:autoRedefine/>
    <w:rsid w:val="00724D0B"/>
    <w:pPr>
      <w:spacing w:line="480" w:lineRule="auto"/>
      <w:jc w:val="both"/>
    </w:pPr>
    <w:rPr>
      <w:lang w:val="en-US"/>
    </w:rPr>
  </w:style>
  <w:style w:type="paragraph" w:customStyle="1" w:styleId="Title2">
    <w:name w:val="Title2"/>
    <w:basedOn w:val="a"/>
    <w:rsid w:val="00724D0B"/>
    <w:rPr>
      <w:b/>
      <w:lang w:val="en-US"/>
    </w:rPr>
  </w:style>
  <w:style w:type="paragraph" w:customStyle="1" w:styleId="Maintext">
    <w:name w:val="Main text"/>
    <w:basedOn w:val="a"/>
    <w:link w:val="MaintextChar"/>
    <w:autoRedefine/>
    <w:rsid w:val="00724D0B"/>
    <w:pPr>
      <w:spacing w:line="480" w:lineRule="auto"/>
    </w:pPr>
    <w:rPr>
      <w:lang w:val="en-US"/>
    </w:rPr>
  </w:style>
  <w:style w:type="character" w:customStyle="1" w:styleId="MaintextChar">
    <w:name w:val="Main text Char"/>
    <w:link w:val="Maintext"/>
    <w:rsid w:val="00724D0B"/>
    <w:rPr>
      <w:rFonts w:ascii="Times New Roman" w:eastAsia="MS Mincho" w:hAnsi="Times New Roman" w:cs="Times New Roman"/>
      <w:kern w:val="0"/>
      <w:sz w:val="24"/>
      <w:szCs w:val="24"/>
      <w:lang w:eastAsia="ja-JP"/>
    </w:rPr>
  </w:style>
  <w:style w:type="character" w:styleId="a5">
    <w:name w:val="Hyperlink"/>
    <w:uiPriority w:val="99"/>
    <w:unhideWhenUsed/>
    <w:rsid w:val="00724D0B"/>
    <w:rPr>
      <w:color w:val="0563C1"/>
      <w:u w:val="single"/>
    </w:rPr>
  </w:style>
  <w:style w:type="paragraph" w:customStyle="1" w:styleId="Addresses">
    <w:name w:val="Addresses"/>
    <w:basedOn w:val="a"/>
    <w:rsid w:val="00724D0B"/>
    <w:rPr>
      <w:lang w:val="en-US"/>
    </w:rPr>
  </w:style>
  <w:style w:type="paragraph" w:customStyle="1" w:styleId="BGKeywords">
    <w:name w:val="BG_Keywords"/>
    <w:basedOn w:val="a"/>
    <w:uiPriority w:val="99"/>
    <w:rsid w:val="00724D0B"/>
    <w:pPr>
      <w:spacing w:after="200" w:line="480" w:lineRule="auto"/>
      <w:jc w:val="both"/>
    </w:pPr>
    <w:rPr>
      <w:rFonts w:ascii="Times" w:eastAsia="宋体" w:hAnsi="Times" w:cs="Times"/>
      <w:lang w:val="en-US" w:eastAsia="en-US"/>
    </w:rPr>
  </w:style>
  <w:style w:type="paragraph" w:customStyle="1" w:styleId="Head1">
    <w:name w:val="Head 1"/>
    <w:basedOn w:val="a"/>
    <w:autoRedefine/>
    <w:rsid w:val="007A4E8A"/>
    <w:pPr>
      <w:spacing w:line="360" w:lineRule="auto"/>
    </w:pPr>
    <w:rPr>
      <w:b/>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13" Type="http://schemas.openxmlformats.org/officeDocument/2006/relationships/image" Target="media/image8.tiff"/><Relationship Id="rId18" Type="http://schemas.openxmlformats.org/officeDocument/2006/relationships/header" Target="header1.xml"/><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2.tiff"/><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tiff"/><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wmf"/><Relationship Id="rId10" Type="http://schemas.openxmlformats.org/officeDocument/2006/relationships/image" Target="media/image5.tiff"/><Relationship Id="rId19"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4.tiff"/><Relationship Id="rId14" Type="http://schemas.openxmlformats.org/officeDocument/2006/relationships/image" Target="media/image9.tif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25</TotalTime>
  <Pages>9</Pages>
  <Words>1559</Words>
  <Characters>8887</Characters>
  <Application>Microsoft Office Word</Application>
  <DocSecurity>0</DocSecurity>
  <Lines>74</Lines>
  <Paragraphs>20</Paragraphs>
  <ScaleCrop>false</ScaleCrop>
  <Company/>
  <LinksUpToDate>false</LinksUpToDate>
  <CharactersWithSpaces>10426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wei wu</dc:creator>
  <cp:keywords/>
  <dc:description/>
  <cp:lastModifiedBy>Xiongwei Hu</cp:lastModifiedBy>
  <cp:revision>7</cp:revision>
  <dcterms:created xsi:type="dcterms:W3CDTF">2015-06-15T12:44:00Z</dcterms:created>
  <dcterms:modified xsi:type="dcterms:W3CDTF">2015-06-17T08:04:00Z</dcterms:modified>
</cp:coreProperties>
</file>